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38B48" w14:textId="77777777" w:rsidR="00B22D61" w:rsidRPr="00127AD6" w:rsidRDefault="00B22D61" w:rsidP="0085075B">
      <w:pPr>
        <w:spacing w:after="0" w:line="276" w:lineRule="auto"/>
        <w:jc w:val="right"/>
        <w:outlineLvl w:val="2"/>
        <w:rPr>
          <w:rFonts w:ascii="Times New Roman" w:hAnsi="Times New Roman"/>
          <w:b/>
          <w:bCs/>
          <w:sz w:val="24"/>
          <w:szCs w:val="24"/>
          <w:lang w:eastAsia="bg-BG"/>
        </w:rPr>
      </w:pPr>
      <w:bookmarkStart w:id="0" w:name="to_paragraph_id30451515"/>
      <w:bookmarkStart w:id="1" w:name="_GoBack"/>
      <w:bookmarkEnd w:id="0"/>
      <w:bookmarkEnd w:id="1"/>
      <w:r w:rsidRPr="00127AD6">
        <w:rPr>
          <w:rFonts w:ascii="Times New Roman" w:hAnsi="Times New Roman"/>
          <w:b/>
          <w:bCs/>
          <w:sz w:val="24"/>
          <w:szCs w:val="24"/>
          <w:lang w:eastAsia="bg-BG"/>
        </w:rPr>
        <w:t>Приложение № 1</w:t>
      </w:r>
    </w:p>
    <w:p w14:paraId="67D33713" w14:textId="77777777" w:rsidR="00B22D61" w:rsidRPr="00127AD6" w:rsidRDefault="00B22D61" w:rsidP="0085075B">
      <w:pPr>
        <w:spacing w:after="0" w:line="276" w:lineRule="auto"/>
        <w:ind w:firstLine="990"/>
        <w:jc w:val="right"/>
        <w:outlineLvl w:val="0"/>
        <w:rPr>
          <w:rFonts w:ascii="Times New Roman" w:hAnsi="Times New Roman"/>
          <w:b/>
          <w:sz w:val="24"/>
          <w:szCs w:val="24"/>
          <w:lang w:eastAsia="bg-BG"/>
        </w:rPr>
      </w:pPr>
      <w:r w:rsidRPr="00127AD6">
        <w:rPr>
          <w:rFonts w:ascii="Times New Roman" w:hAnsi="Times New Roman"/>
          <w:b/>
          <w:sz w:val="24"/>
          <w:szCs w:val="24"/>
          <w:lang w:eastAsia="bg-BG"/>
        </w:rPr>
        <w:t>Към Условията за изпълнение</w:t>
      </w:r>
    </w:p>
    <w:p w14:paraId="446C04A8" w14:textId="7B0C65B1" w:rsidR="00B22D61" w:rsidRPr="00127AD6" w:rsidRDefault="00B22D61" w:rsidP="0085075B">
      <w:pPr>
        <w:spacing w:after="0" w:line="276" w:lineRule="auto"/>
        <w:jc w:val="both"/>
        <w:rPr>
          <w:rFonts w:ascii="Times New Roman" w:hAnsi="Times New Roman"/>
          <w:b/>
          <w:sz w:val="24"/>
          <w:szCs w:val="24"/>
        </w:rPr>
      </w:pPr>
      <w:r w:rsidRPr="00127AD6">
        <w:rPr>
          <w:rFonts w:ascii="Times New Roman" w:hAnsi="Times New Roman"/>
          <w:b/>
          <w:sz w:val="24"/>
          <w:szCs w:val="24"/>
        </w:rPr>
        <w:t>Документи за междинно и окончателно плащане</w:t>
      </w:r>
    </w:p>
    <w:p w14:paraId="7EFB82CF" w14:textId="77777777" w:rsidR="00B22D61" w:rsidRPr="00127AD6" w:rsidRDefault="00B22D61" w:rsidP="0085075B">
      <w:pPr>
        <w:spacing w:after="0" w:line="276" w:lineRule="auto"/>
        <w:jc w:val="both"/>
        <w:rPr>
          <w:rFonts w:ascii="Times New Roman" w:hAnsi="Times New Roman"/>
          <w:b/>
          <w:sz w:val="24"/>
          <w:szCs w:val="24"/>
        </w:rPr>
      </w:pPr>
      <w:r w:rsidRPr="00127AD6">
        <w:rPr>
          <w:rFonts w:ascii="Times New Roman" w:hAnsi="Times New Roman"/>
          <w:b/>
          <w:sz w:val="24"/>
          <w:szCs w:val="24"/>
        </w:rPr>
        <w:t xml:space="preserve">А. Общи документи: </w:t>
      </w:r>
    </w:p>
    <w:p w14:paraId="11D640FA" w14:textId="2C234645" w:rsidR="00B22D61" w:rsidRPr="00127AD6" w:rsidRDefault="0081484D"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 xml:space="preserve">Искане </w:t>
      </w:r>
      <w:r w:rsidR="00B22D61" w:rsidRPr="00127AD6">
        <w:rPr>
          <w:rFonts w:ascii="Times New Roman" w:hAnsi="Times New Roman"/>
          <w:sz w:val="24"/>
          <w:szCs w:val="24"/>
          <w:lang w:eastAsia="bg-BG"/>
        </w:rPr>
        <w:t>за междинно/о</w:t>
      </w:r>
      <w:r w:rsidR="00EB3375" w:rsidRPr="00127AD6">
        <w:rPr>
          <w:rFonts w:ascii="Times New Roman" w:hAnsi="Times New Roman"/>
          <w:sz w:val="24"/>
          <w:szCs w:val="24"/>
          <w:lang w:eastAsia="bg-BG"/>
        </w:rPr>
        <w:t>кончателно плащане</w:t>
      </w:r>
      <w:r w:rsidR="00FC4362" w:rsidRPr="00127AD6">
        <w:rPr>
          <w:rFonts w:ascii="Times New Roman" w:hAnsi="Times New Roman"/>
          <w:sz w:val="24"/>
          <w:szCs w:val="24"/>
          <w:lang w:eastAsia="bg-BG"/>
        </w:rPr>
        <w:t xml:space="preserve"> и попълнена финансова таблица за извършените инвестиции по групи разходи към искането за плащане.</w:t>
      </w:r>
      <w:r w:rsidR="00EB3375" w:rsidRPr="00127AD6">
        <w:rPr>
          <w:rFonts w:ascii="Times New Roman" w:hAnsi="Times New Roman"/>
          <w:sz w:val="24"/>
          <w:szCs w:val="24"/>
          <w:lang w:eastAsia="bg-BG"/>
        </w:rPr>
        <w:t xml:space="preserve"> (по образец);</w:t>
      </w:r>
    </w:p>
    <w:p w14:paraId="6C0C84DE" w14:textId="3A4A147B"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 xml:space="preserve">Декларация </w:t>
      </w:r>
      <w:r w:rsidR="00E859FA" w:rsidRPr="00127AD6">
        <w:rPr>
          <w:rFonts w:ascii="Times New Roman" w:hAnsi="Times New Roman"/>
          <w:sz w:val="24"/>
          <w:szCs w:val="24"/>
          <w:lang w:eastAsia="bg-BG"/>
        </w:rPr>
        <w:t xml:space="preserve">по образец </w:t>
      </w:r>
      <w:r w:rsidR="0081484D" w:rsidRPr="00127AD6">
        <w:rPr>
          <w:rFonts w:ascii="Times New Roman" w:hAnsi="Times New Roman"/>
          <w:sz w:val="24"/>
          <w:szCs w:val="24"/>
          <w:lang w:eastAsia="bg-BG"/>
        </w:rPr>
        <w:t xml:space="preserve">Приложение № 2 </w:t>
      </w:r>
      <w:r w:rsidRPr="00127AD6">
        <w:rPr>
          <w:rFonts w:ascii="Times New Roman" w:hAnsi="Times New Roman"/>
          <w:sz w:val="24"/>
          <w:szCs w:val="24"/>
          <w:lang w:eastAsia="bg-BG"/>
        </w:rPr>
        <w:t xml:space="preserve">(само в случаите, когато са настъпили промени в декларираните </w:t>
      </w:r>
      <w:r w:rsidR="00EB3375" w:rsidRPr="00127AD6">
        <w:rPr>
          <w:rFonts w:ascii="Times New Roman" w:hAnsi="Times New Roman"/>
          <w:sz w:val="24"/>
          <w:szCs w:val="24"/>
          <w:lang w:eastAsia="bg-BG"/>
        </w:rPr>
        <w:t>обстоятелства);</w:t>
      </w:r>
    </w:p>
    <w:p w14:paraId="37522D8A" w14:textId="31B5DDFF"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 xml:space="preserve">Декларация (в случай, че ползвателят няма регистрация по </w:t>
      </w:r>
      <w:hyperlink r:id="rId7" w:history="1">
        <w:r w:rsidRPr="00127AD6">
          <w:rPr>
            <w:rFonts w:ascii="Times New Roman" w:hAnsi="Times New Roman"/>
            <w:sz w:val="24"/>
            <w:szCs w:val="24"/>
            <w:lang w:eastAsia="bg-BG"/>
          </w:rPr>
          <w:t>Закона за данък върху добавената стойност</w:t>
        </w:r>
      </w:hyperlink>
      <w:r w:rsidRPr="00127AD6">
        <w:rPr>
          <w:rFonts w:ascii="Times New Roman" w:hAnsi="Times New Roman"/>
          <w:sz w:val="24"/>
          <w:szCs w:val="24"/>
          <w:lang w:eastAsia="bg-BG"/>
        </w:rPr>
        <w:t xml:space="preserve">), че ползвателят няма да упражни правото си на данъчен кредит за активи и услуги, финансирани по </w:t>
      </w:r>
      <w:r w:rsidR="00C845C6" w:rsidRPr="00127AD6">
        <w:rPr>
          <w:rFonts w:ascii="Times New Roman" w:hAnsi="Times New Roman"/>
          <w:sz w:val="24"/>
          <w:szCs w:val="24"/>
          <w:lang w:eastAsia="bg-BG"/>
        </w:rPr>
        <w:t>Стратегически план</w:t>
      </w:r>
      <w:r w:rsidRPr="00127AD6">
        <w:rPr>
          <w:rFonts w:ascii="Times New Roman" w:hAnsi="Times New Roman"/>
          <w:sz w:val="24"/>
          <w:szCs w:val="24"/>
          <w:lang w:eastAsia="bg-BG"/>
        </w:rPr>
        <w:t xml:space="preserve"> 20</w:t>
      </w:r>
      <w:r w:rsidR="00C845C6" w:rsidRPr="00127AD6">
        <w:rPr>
          <w:rFonts w:ascii="Times New Roman" w:hAnsi="Times New Roman"/>
          <w:sz w:val="24"/>
          <w:szCs w:val="24"/>
          <w:lang w:eastAsia="bg-BG"/>
        </w:rPr>
        <w:t>23</w:t>
      </w:r>
      <w:r w:rsidRPr="00127AD6">
        <w:rPr>
          <w:rFonts w:ascii="Times New Roman" w:hAnsi="Times New Roman"/>
          <w:sz w:val="24"/>
          <w:szCs w:val="24"/>
          <w:lang w:eastAsia="bg-BG"/>
        </w:rPr>
        <w:t xml:space="preserve"> - 202</w:t>
      </w:r>
      <w:r w:rsidR="00C845C6" w:rsidRPr="00127AD6">
        <w:rPr>
          <w:rFonts w:ascii="Times New Roman" w:hAnsi="Times New Roman"/>
          <w:sz w:val="24"/>
          <w:szCs w:val="24"/>
          <w:lang w:eastAsia="bg-BG"/>
        </w:rPr>
        <w:t>7</w:t>
      </w:r>
      <w:r w:rsidRPr="00127AD6">
        <w:rPr>
          <w:rFonts w:ascii="Times New Roman" w:hAnsi="Times New Roman"/>
          <w:sz w:val="24"/>
          <w:szCs w:val="24"/>
          <w:lang w:eastAsia="bg-BG"/>
        </w:rPr>
        <w:t xml:space="preserve"> г. (Приложение 3).</w:t>
      </w:r>
    </w:p>
    <w:p w14:paraId="66A9C865" w14:textId="09A89B21"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Декларация от представляващия ползвателя на помощта за упражняване правото на д</w:t>
      </w:r>
      <w:r w:rsidR="00C845C6" w:rsidRPr="00127AD6">
        <w:rPr>
          <w:rFonts w:ascii="Times New Roman" w:hAnsi="Times New Roman"/>
          <w:sz w:val="24"/>
          <w:szCs w:val="24"/>
          <w:lang w:eastAsia="bg-BG"/>
        </w:rPr>
        <w:t>анъчен кредит. (Приложение 3 А);</w:t>
      </w:r>
    </w:p>
    <w:p w14:paraId="1A79AC8D" w14:textId="4C259207"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Декларация от представляващия ползвателя на помощта за наличие или липса на двойно финансиране</w:t>
      </w:r>
      <w:r w:rsidR="00C845C6" w:rsidRPr="00127AD6">
        <w:rPr>
          <w:rFonts w:ascii="Times New Roman" w:hAnsi="Times New Roman"/>
          <w:sz w:val="24"/>
          <w:szCs w:val="24"/>
          <w:lang w:eastAsia="bg-BG"/>
        </w:rPr>
        <w:t xml:space="preserve"> (Приложение 4);</w:t>
      </w:r>
    </w:p>
    <w:p w14:paraId="6C8D7FE3" w14:textId="5A9B6620" w:rsidR="0081484D" w:rsidRPr="00127AD6" w:rsidRDefault="0081484D"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 xml:space="preserve">Индивидуален сметкоплан, утвърден от </w:t>
      </w:r>
      <w:r w:rsidR="00053321" w:rsidRPr="00127AD6">
        <w:rPr>
          <w:rFonts w:ascii="Times New Roman" w:hAnsi="Times New Roman"/>
          <w:sz w:val="24"/>
          <w:szCs w:val="24"/>
        </w:rPr>
        <w:t>ръководителя на предприятието</w:t>
      </w:r>
      <w:r w:rsidRPr="00127AD6">
        <w:rPr>
          <w:rFonts w:ascii="Times New Roman" w:hAnsi="Times New Roman"/>
          <w:sz w:val="24"/>
          <w:szCs w:val="24"/>
          <w:lang w:eastAsia="bg-BG"/>
        </w:rPr>
        <w:t>, с включени в него обособени счетоводни сметки, специално открити за заявлението за подпомагане. Сметките следва да съдържат номера /или част от номера/ на договора за предоставяне на безвъзмездна помощ или номера на заявлението за подпомагане</w:t>
      </w:r>
    </w:p>
    <w:p w14:paraId="6EB565F4" w14:textId="09852598"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Копие на извлечение от инвентарна книга или разпечатка от счетоводната система на ползвателя, доказваща заприхожд</w:t>
      </w:r>
      <w:r w:rsidR="0010048E" w:rsidRPr="00127AD6">
        <w:rPr>
          <w:rFonts w:ascii="Times New Roman" w:hAnsi="Times New Roman"/>
          <w:sz w:val="24"/>
          <w:szCs w:val="24"/>
          <w:lang w:eastAsia="bg-BG"/>
        </w:rPr>
        <w:t>аването на финансирания актив</w:t>
      </w:r>
      <w:r w:rsidR="0081484D" w:rsidRPr="00127AD6">
        <w:rPr>
          <w:rFonts w:ascii="Times New Roman" w:hAnsi="Times New Roman"/>
          <w:sz w:val="24"/>
          <w:szCs w:val="24"/>
          <w:lang w:eastAsia="bg-BG"/>
        </w:rPr>
        <w:t xml:space="preserve"> в отделна счетоводна система или в отделни счетоводни аналитични сметки, специално открити за заявлението за подпомагане</w:t>
      </w:r>
      <w:r w:rsidR="0010048E" w:rsidRPr="00127AD6">
        <w:rPr>
          <w:rFonts w:ascii="Times New Roman" w:hAnsi="Times New Roman"/>
          <w:sz w:val="24"/>
          <w:szCs w:val="24"/>
          <w:lang w:eastAsia="bg-BG"/>
        </w:rPr>
        <w:t>;</w:t>
      </w:r>
      <w:r w:rsidR="0081484D" w:rsidRPr="00127AD6">
        <w:rPr>
          <w:rFonts w:ascii="Times New Roman" w:hAnsi="Times New Roman"/>
          <w:sz w:val="24"/>
          <w:szCs w:val="24"/>
          <w:lang w:eastAsia="bg-BG"/>
        </w:rPr>
        <w:t xml:space="preserve"> </w:t>
      </w:r>
    </w:p>
    <w:p w14:paraId="53FFF369" w14:textId="0103EE02" w:rsidR="0081484D" w:rsidRPr="00127AD6" w:rsidRDefault="0081484D"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Аналитична оборотна ведомост, извлечения от отделни аналитични счетоводни сметки, отразяващи разходите по заявлението за подпомагане или от отделна счетоводна система за отчитане на разходите по заявлението. Сметките следва да съдържат номера /или част от номера/ на договора за предоставяне на безвъзмездна помощ.</w:t>
      </w:r>
    </w:p>
    <w:p w14:paraId="401537F4" w14:textId="58D592B9"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Първични счетоводни документи (фактури)</w:t>
      </w:r>
      <w:r w:rsidR="0010048E" w:rsidRPr="00127AD6">
        <w:rPr>
          <w:rFonts w:ascii="Times New Roman" w:hAnsi="Times New Roman"/>
          <w:sz w:val="24"/>
          <w:szCs w:val="24"/>
          <w:lang w:eastAsia="bg-BG"/>
        </w:rPr>
        <w:t>, доказващи извършените разходи;</w:t>
      </w:r>
    </w:p>
    <w:p w14:paraId="09105E4A" w14:textId="1E8700FD"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 xml:space="preserve">Платежно нареждане (друг документ), доказващо плащане от </w:t>
      </w:r>
      <w:r w:rsidR="0010048E" w:rsidRPr="00127AD6">
        <w:rPr>
          <w:rFonts w:ascii="Times New Roman" w:hAnsi="Times New Roman"/>
          <w:sz w:val="24"/>
          <w:szCs w:val="24"/>
          <w:lang w:eastAsia="bg-BG"/>
        </w:rPr>
        <w:t>страна на ползвателя на помощта</w:t>
      </w:r>
      <w:r w:rsidR="0081484D" w:rsidRPr="00127AD6">
        <w:rPr>
          <w:rFonts w:ascii="Times New Roman" w:hAnsi="Times New Roman"/>
          <w:sz w:val="24"/>
          <w:szCs w:val="24"/>
          <w:lang w:eastAsia="bg-BG"/>
        </w:rPr>
        <w:t>,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p>
    <w:p w14:paraId="53FDFDC5" w14:textId="48C2F314"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 xml:space="preserve">Пълно банково извлечение от деня на извършване на плащането, доказващо плащане от </w:t>
      </w:r>
      <w:r w:rsidR="0010048E" w:rsidRPr="00127AD6">
        <w:rPr>
          <w:rFonts w:ascii="Times New Roman" w:hAnsi="Times New Roman"/>
          <w:sz w:val="24"/>
          <w:szCs w:val="24"/>
          <w:lang w:eastAsia="bg-BG"/>
        </w:rPr>
        <w:t>страна на ползвателя на помощта</w:t>
      </w:r>
      <w:r w:rsidR="00892069" w:rsidRPr="00127AD6">
        <w:rPr>
          <w:rFonts w:ascii="Times New Roman" w:hAnsi="Times New Roman"/>
          <w:sz w:val="24"/>
          <w:szCs w:val="24"/>
          <w:lang w:eastAsia="bg-BG"/>
        </w:rPr>
        <w:t>, заверено от обслужващата банка.</w:t>
      </w:r>
      <w:r w:rsidR="0010048E" w:rsidRPr="00127AD6">
        <w:rPr>
          <w:rFonts w:ascii="Times New Roman" w:hAnsi="Times New Roman"/>
          <w:sz w:val="24"/>
          <w:szCs w:val="24"/>
          <w:lang w:eastAsia="bg-BG"/>
        </w:rPr>
        <w:t>;</w:t>
      </w:r>
    </w:p>
    <w:p w14:paraId="79F40FFE" w14:textId="0C1F8CC9" w:rsidR="00053321" w:rsidRPr="00127AD6" w:rsidRDefault="0005332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rPr>
        <w:t>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при кандидатстване за окончателно плащане).</w:t>
      </w:r>
    </w:p>
    <w:p w14:paraId="51FD53F2" w14:textId="79D70B18"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lastRenderedPageBreak/>
        <w:t>Договор за строителство (доставка) 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w:t>
      </w:r>
      <w:r w:rsidR="006F62D0" w:rsidRPr="00127AD6">
        <w:rPr>
          <w:rFonts w:ascii="Times New Roman" w:hAnsi="Times New Roman"/>
          <w:sz w:val="24"/>
          <w:szCs w:val="24"/>
          <w:lang w:eastAsia="bg-BG"/>
        </w:rPr>
        <w:t xml:space="preserve"> (</w:t>
      </w:r>
      <w:r w:rsidR="006F62D0" w:rsidRPr="00127AD6">
        <w:rPr>
          <w:rFonts w:ascii="Times New Roman" w:hAnsi="Times New Roman"/>
          <w:sz w:val="24"/>
          <w:szCs w:val="24"/>
        </w:rPr>
        <w:t>само при настъпили промени след последното им представяне</w:t>
      </w:r>
      <w:r w:rsidR="006F62D0" w:rsidRPr="00127AD6">
        <w:rPr>
          <w:rFonts w:ascii="Times New Roman" w:hAnsi="Times New Roman"/>
          <w:sz w:val="24"/>
          <w:szCs w:val="24"/>
          <w:lang w:eastAsia="bg-BG"/>
        </w:rPr>
        <w:t>)</w:t>
      </w:r>
      <w:r w:rsidRPr="00127AD6">
        <w:rPr>
          <w:rFonts w:ascii="Times New Roman" w:hAnsi="Times New Roman"/>
          <w:sz w:val="24"/>
          <w:szCs w:val="24"/>
          <w:lang w:eastAsia="bg-BG"/>
        </w:rPr>
        <w:t>. В договорите се описва ДДС.</w:t>
      </w:r>
      <w:r w:rsidR="006F62D0" w:rsidRPr="00127AD6">
        <w:rPr>
          <w:rFonts w:ascii="Times New Roman" w:hAnsi="Times New Roman"/>
          <w:sz w:val="24"/>
          <w:szCs w:val="24"/>
          <w:lang w:eastAsia="bg-BG"/>
        </w:rPr>
        <w:t xml:space="preserve"> </w:t>
      </w:r>
      <w:r w:rsidRPr="00127AD6">
        <w:rPr>
          <w:rFonts w:ascii="Times New Roman" w:hAnsi="Times New Roman"/>
          <w:sz w:val="24"/>
          <w:szCs w:val="24"/>
          <w:lang w:eastAsia="bg-BG"/>
        </w:rPr>
        <w:t xml:space="preserve">Представя се в </w:t>
      </w:r>
      <w:r w:rsidR="002C75E1" w:rsidRPr="00127AD6">
        <w:rPr>
          <w:rFonts w:ascii="Times New Roman" w:hAnsi="Times New Roman"/>
          <w:sz w:val="24"/>
          <w:szCs w:val="24"/>
          <w:lang w:eastAsia="bg-BG"/>
        </w:rPr>
        <w:t xml:space="preserve">два </w:t>
      </w:r>
      <w:r w:rsidRPr="00127AD6">
        <w:rPr>
          <w:rFonts w:ascii="Times New Roman" w:hAnsi="Times New Roman"/>
          <w:sz w:val="24"/>
          <w:szCs w:val="24"/>
          <w:lang w:eastAsia="bg-BG"/>
        </w:rPr>
        <w:t>формат</w:t>
      </w:r>
      <w:r w:rsidR="002C75E1" w:rsidRPr="00127AD6">
        <w:rPr>
          <w:rFonts w:ascii="Times New Roman" w:hAnsi="Times New Roman"/>
          <w:sz w:val="24"/>
          <w:szCs w:val="24"/>
          <w:lang w:eastAsia="bg-BG"/>
        </w:rPr>
        <w:t>а</w:t>
      </w:r>
      <w:r w:rsidRPr="00127AD6">
        <w:rPr>
          <w:rFonts w:ascii="Times New Roman" w:hAnsi="Times New Roman"/>
          <w:sz w:val="24"/>
          <w:szCs w:val="24"/>
          <w:lang w:eastAsia="bg-BG"/>
        </w:rPr>
        <w:t xml:space="preserve"> </w:t>
      </w:r>
      <w:r w:rsidR="002C75E1" w:rsidRPr="00127AD6">
        <w:rPr>
          <w:rFonts w:ascii="Times New Roman" w:hAnsi="Times New Roman"/>
          <w:sz w:val="24"/>
          <w:szCs w:val="24"/>
          <w:lang w:eastAsia="bg-BG"/>
        </w:rPr>
        <w:t>„рdf“ или „jpg“ и на „xls“ или „xlsx“</w:t>
      </w:r>
      <w:r w:rsidRPr="00127AD6">
        <w:rPr>
          <w:rFonts w:ascii="Times New Roman" w:hAnsi="Times New Roman"/>
          <w:sz w:val="24"/>
          <w:szCs w:val="24"/>
          <w:lang w:eastAsia="bg-BG"/>
        </w:rPr>
        <w:t>.</w:t>
      </w:r>
    </w:p>
    <w:p w14:paraId="7E8A3B89" w14:textId="334C78A9"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Декларация от всеки доставчик, че активите - предмет на и</w:t>
      </w:r>
      <w:r w:rsidR="00D70A37" w:rsidRPr="00127AD6">
        <w:rPr>
          <w:rFonts w:ascii="Times New Roman" w:hAnsi="Times New Roman"/>
          <w:sz w:val="24"/>
          <w:szCs w:val="24"/>
          <w:lang w:eastAsia="bg-BG"/>
        </w:rPr>
        <w:t>нвестиция, не са втора употреба</w:t>
      </w:r>
      <w:r w:rsidR="00647177" w:rsidRPr="00127AD6">
        <w:rPr>
          <w:rFonts w:ascii="Times New Roman" w:hAnsi="Times New Roman"/>
          <w:sz w:val="24"/>
          <w:szCs w:val="24"/>
          <w:lang w:eastAsia="bg-BG"/>
        </w:rPr>
        <w:t xml:space="preserve"> (</w:t>
      </w:r>
      <w:r w:rsidR="00647177" w:rsidRPr="00127AD6">
        <w:rPr>
          <w:rFonts w:ascii="Times New Roman" w:hAnsi="Times New Roman"/>
          <w:sz w:val="24"/>
          <w:szCs w:val="24"/>
        </w:rPr>
        <w:t>В случай че в Приемно-предавателния протокол между доставчика/изпълнителя и бенефициента е включена декларативна част, че активите не са втора употреба, документът не се представя.)</w:t>
      </w:r>
      <w:r w:rsidR="00D70A37" w:rsidRPr="00127AD6">
        <w:rPr>
          <w:rFonts w:ascii="Times New Roman" w:hAnsi="Times New Roman"/>
          <w:sz w:val="24"/>
          <w:szCs w:val="24"/>
          <w:lang w:eastAsia="bg-BG"/>
        </w:rPr>
        <w:t>;</w:t>
      </w:r>
    </w:p>
    <w:p w14:paraId="181AE1B2" w14:textId="1C30D238"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 xml:space="preserve">Приемо-предавателен протокол , подписан от ползвателя на помощта и доставчика, с детайлно описание на техническите характеристики на активите - предмет на инвестицията. Представя се в </w:t>
      </w:r>
      <w:r w:rsidR="002C75E1" w:rsidRPr="00127AD6">
        <w:rPr>
          <w:rFonts w:ascii="Times New Roman" w:hAnsi="Times New Roman"/>
          <w:sz w:val="24"/>
          <w:szCs w:val="24"/>
          <w:lang w:eastAsia="bg-BG"/>
        </w:rPr>
        <w:t xml:space="preserve">два </w:t>
      </w:r>
      <w:r w:rsidRPr="00127AD6">
        <w:rPr>
          <w:rFonts w:ascii="Times New Roman" w:hAnsi="Times New Roman"/>
          <w:sz w:val="24"/>
          <w:szCs w:val="24"/>
          <w:lang w:eastAsia="bg-BG"/>
        </w:rPr>
        <w:t>формат</w:t>
      </w:r>
      <w:r w:rsidR="002C75E1" w:rsidRPr="00127AD6">
        <w:rPr>
          <w:rFonts w:ascii="Times New Roman" w:hAnsi="Times New Roman"/>
          <w:sz w:val="24"/>
          <w:szCs w:val="24"/>
          <w:lang w:eastAsia="bg-BG"/>
        </w:rPr>
        <w:t>а</w:t>
      </w:r>
      <w:r w:rsidRPr="00127AD6">
        <w:rPr>
          <w:rFonts w:ascii="Times New Roman" w:hAnsi="Times New Roman"/>
          <w:sz w:val="24"/>
          <w:szCs w:val="24"/>
          <w:lang w:eastAsia="bg-BG"/>
        </w:rPr>
        <w:t xml:space="preserve"> </w:t>
      </w:r>
      <w:r w:rsidR="002C75E1" w:rsidRPr="00127AD6">
        <w:rPr>
          <w:rFonts w:ascii="Times New Roman" w:hAnsi="Times New Roman"/>
          <w:sz w:val="24"/>
          <w:szCs w:val="24"/>
          <w:lang w:eastAsia="bg-BG"/>
        </w:rPr>
        <w:t>„рdf“ или „jpg“ и на „xls“ или „xlsx“</w:t>
      </w:r>
      <w:r w:rsidR="00D70A37" w:rsidRPr="00127AD6">
        <w:rPr>
          <w:rFonts w:ascii="Times New Roman" w:hAnsi="Times New Roman"/>
          <w:sz w:val="24"/>
          <w:szCs w:val="24"/>
          <w:lang w:eastAsia="bg-BG"/>
        </w:rPr>
        <w:t>;</w:t>
      </w:r>
    </w:p>
    <w:p w14:paraId="17FD77B4" w14:textId="5F8045C7" w:rsidR="00702ACF" w:rsidRPr="00127AD6" w:rsidRDefault="00702ACF"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rPr>
        <w:t>Договор за финансов лизинг с приложен към него погасителен план за изплащане на лизинговите вноски (в случаите на финансов лизинг и в случай че не е представен пред ДФ „Земеделие“ при кандидатстването). Представя се във формат „pdf“ или „jpg“.</w:t>
      </w:r>
    </w:p>
    <w:p w14:paraId="04338278" w14:textId="7D08B817"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 xml:space="preserve">Декларация по образец за генериране на нетни приходи (не се представя за </w:t>
      </w:r>
      <w:r w:rsidR="00A765F9" w:rsidRPr="00127AD6">
        <w:rPr>
          <w:rFonts w:ascii="Times New Roman" w:hAnsi="Times New Roman"/>
          <w:sz w:val="24"/>
          <w:szCs w:val="24"/>
        </w:rPr>
        <w:t>заявления за подпомагане, по които размерът на допустимите за финансово подпомагане разходи не надхвърля левовата равностойност на 100 000 евро</w:t>
      </w:r>
      <w:r w:rsidR="00A765F9" w:rsidRPr="00127AD6">
        <w:rPr>
          <w:rFonts w:ascii="Times New Roman" w:hAnsi="Times New Roman"/>
          <w:sz w:val="24"/>
          <w:szCs w:val="24"/>
          <w:lang w:eastAsia="bg-BG"/>
        </w:rPr>
        <w:t>)</w:t>
      </w:r>
      <w:r w:rsidR="008F5155" w:rsidRPr="00127AD6">
        <w:rPr>
          <w:rFonts w:ascii="Times New Roman" w:hAnsi="Times New Roman"/>
          <w:sz w:val="24"/>
          <w:szCs w:val="24"/>
          <w:lang w:eastAsia="bg-BG"/>
        </w:rPr>
        <w:t xml:space="preserve"> (Приложение 5);</w:t>
      </w:r>
    </w:p>
    <w:p w14:paraId="4720F356" w14:textId="604B9A68"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Справка за паричните потоци, заплащани директно от потребителите за</w:t>
      </w:r>
      <w:r w:rsidR="008F5155" w:rsidRPr="00127AD6">
        <w:rPr>
          <w:rFonts w:ascii="Times New Roman" w:hAnsi="Times New Roman"/>
          <w:sz w:val="24"/>
          <w:szCs w:val="24"/>
          <w:lang w:eastAsia="bg-BG"/>
        </w:rPr>
        <w:t xml:space="preserve"> стоки и услуги, предоставени със заявлението за подпомагане </w:t>
      </w:r>
      <w:r w:rsidRPr="00127AD6">
        <w:rPr>
          <w:rFonts w:ascii="Times New Roman" w:hAnsi="Times New Roman"/>
          <w:sz w:val="24"/>
          <w:szCs w:val="24"/>
          <w:lang w:eastAsia="bg-BG"/>
        </w:rPr>
        <w:t xml:space="preserve">(напр. такси за използването на инфраструктурата, продажбата или отдаването под наем на земя или сгради или плащания за услуги) за период от сключване на административния договор до датата на подаване на </w:t>
      </w:r>
      <w:r w:rsidR="00892069" w:rsidRPr="00127AD6">
        <w:rPr>
          <w:rFonts w:ascii="Times New Roman" w:hAnsi="Times New Roman"/>
          <w:sz w:val="24"/>
          <w:szCs w:val="24"/>
          <w:lang w:eastAsia="bg-BG"/>
        </w:rPr>
        <w:t xml:space="preserve">искане </w:t>
      </w:r>
      <w:r w:rsidRPr="00127AD6">
        <w:rPr>
          <w:rFonts w:ascii="Times New Roman" w:hAnsi="Times New Roman"/>
          <w:sz w:val="24"/>
          <w:szCs w:val="24"/>
          <w:lang w:eastAsia="bg-BG"/>
        </w:rPr>
        <w:t xml:space="preserve">за плащане, подписана и от главния счетоводител (не се представя за </w:t>
      </w:r>
      <w:r w:rsidR="008F5155" w:rsidRPr="00127AD6">
        <w:rPr>
          <w:rFonts w:ascii="Times New Roman" w:hAnsi="Times New Roman"/>
          <w:sz w:val="24"/>
          <w:szCs w:val="24"/>
          <w:lang w:eastAsia="bg-BG"/>
        </w:rPr>
        <w:t>заявления за подпомагане</w:t>
      </w:r>
      <w:r w:rsidRPr="00127AD6">
        <w:rPr>
          <w:rFonts w:ascii="Times New Roman" w:hAnsi="Times New Roman"/>
          <w:sz w:val="24"/>
          <w:szCs w:val="24"/>
          <w:lang w:eastAsia="bg-BG"/>
        </w:rPr>
        <w:t xml:space="preserve">, по които размерът на допустимите за финансово подпомагане разходи не надхвърля левовата равностойност на </w:t>
      </w:r>
      <w:r w:rsidR="000D5AC5" w:rsidRPr="00127AD6">
        <w:rPr>
          <w:rFonts w:ascii="Times New Roman" w:hAnsi="Times New Roman"/>
          <w:sz w:val="24"/>
          <w:szCs w:val="24"/>
          <w:lang w:eastAsia="bg-BG"/>
        </w:rPr>
        <w:t>1</w:t>
      </w:r>
      <w:r w:rsidR="008F5155" w:rsidRPr="00127AD6">
        <w:rPr>
          <w:rFonts w:ascii="Times New Roman" w:hAnsi="Times New Roman"/>
          <w:sz w:val="24"/>
          <w:szCs w:val="24"/>
          <w:lang w:eastAsia="bg-BG"/>
        </w:rPr>
        <w:t>0</w:t>
      </w:r>
      <w:r w:rsidR="00DB4E67" w:rsidRPr="00127AD6">
        <w:rPr>
          <w:rFonts w:ascii="Times New Roman" w:hAnsi="Times New Roman"/>
          <w:sz w:val="24"/>
          <w:szCs w:val="24"/>
          <w:lang w:eastAsia="bg-BG"/>
        </w:rPr>
        <w:t>0</w:t>
      </w:r>
      <w:r w:rsidR="008F5155" w:rsidRPr="00127AD6">
        <w:rPr>
          <w:rFonts w:ascii="Times New Roman" w:hAnsi="Times New Roman"/>
          <w:sz w:val="24"/>
          <w:szCs w:val="24"/>
          <w:lang w:eastAsia="bg-BG"/>
        </w:rPr>
        <w:t xml:space="preserve"> 000 евро);</w:t>
      </w:r>
    </w:p>
    <w:p w14:paraId="5623F77E" w14:textId="4F6F83B6"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Справка за всички оперативни разходи и разходи за подмяна на недълготрайно об</w:t>
      </w:r>
      <w:r w:rsidR="008F5155" w:rsidRPr="00127AD6">
        <w:rPr>
          <w:rFonts w:ascii="Times New Roman" w:hAnsi="Times New Roman"/>
          <w:sz w:val="24"/>
          <w:szCs w:val="24"/>
          <w:lang w:eastAsia="bg-BG"/>
        </w:rPr>
        <w:t>орудване, свързани с финансираното заявление за подпомагане</w:t>
      </w:r>
      <w:r w:rsidRPr="00127AD6">
        <w:rPr>
          <w:rFonts w:ascii="Times New Roman" w:hAnsi="Times New Roman"/>
          <w:sz w:val="24"/>
          <w:szCs w:val="24"/>
          <w:lang w:eastAsia="bg-BG"/>
        </w:rPr>
        <w:t xml:space="preserve"> за периода от сключване на административния договор до датата на подаване на </w:t>
      </w:r>
      <w:r w:rsidR="00892069" w:rsidRPr="00127AD6">
        <w:rPr>
          <w:rFonts w:ascii="Times New Roman" w:hAnsi="Times New Roman"/>
          <w:sz w:val="24"/>
          <w:szCs w:val="24"/>
          <w:lang w:eastAsia="bg-BG"/>
        </w:rPr>
        <w:t xml:space="preserve">искането </w:t>
      </w:r>
      <w:r w:rsidRPr="00127AD6">
        <w:rPr>
          <w:rFonts w:ascii="Times New Roman" w:hAnsi="Times New Roman"/>
          <w:sz w:val="24"/>
          <w:szCs w:val="24"/>
          <w:lang w:eastAsia="bg-BG"/>
        </w:rPr>
        <w:t xml:space="preserve">за плащане, подписана и от главния счетоводител (не се представя за </w:t>
      </w:r>
      <w:r w:rsidR="008F5155" w:rsidRPr="00127AD6">
        <w:rPr>
          <w:rFonts w:ascii="Times New Roman" w:hAnsi="Times New Roman"/>
          <w:sz w:val="24"/>
          <w:szCs w:val="24"/>
          <w:lang w:eastAsia="bg-BG"/>
        </w:rPr>
        <w:t>заявления за подпомагане</w:t>
      </w:r>
      <w:r w:rsidRPr="00127AD6">
        <w:rPr>
          <w:rFonts w:ascii="Times New Roman" w:hAnsi="Times New Roman"/>
          <w:sz w:val="24"/>
          <w:szCs w:val="24"/>
          <w:lang w:eastAsia="bg-BG"/>
        </w:rPr>
        <w:t xml:space="preserve">, по които размерът на допустимите за финансово подпомагане разходи не надхвърля левовата равностойност на </w:t>
      </w:r>
      <w:r w:rsidR="000D5AC5" w:rsidRPr="00127AD6">
        <w:rPr>
          <w:rFonts w:ascii="Times New Roman" w:hAnsi="Times New Roman"/>
          <w:sz w:val="24"/>
          <w:szCs w:val="24"/>
          <w:lang w:eastAsia="bg-BG"/>
        </w:rPr>
        <w:t>1</w:t>
      </w:r>
      <w:r w:rsidR="00D57D25" w:rsidRPr="00127AD6">
        <w:rPr>
          <w:rFonts w:ascii="Times New Roman" w:hAnsi="Times New Roman"/>
          <w:sz w:val="24"/>
          <w:szCs w:val="24"/>
          <w:lang w:eastAsia="bg-BG"/>
        </w:rPr>
        <w:t>0</w:t>
      </w:r>
      <w:r w:rsidR="00181542" w:rsidRPr="00127AD6">
        <w:rPr>
          <w:rFonts w:ascii="Times New Roman" w:hAnsi="Times New Roman"/>
          <w:sz w:val="24"/>
          <w:szCs w:val="24"/>
          <w:lang w:eastAsia="bg-BG"/>
        </w:rPr>
        <w:t>0 000 евро</w:t>
      </w:r>
      <w:r w:rsidR="008F5155" w:rsidRPr="00127AD6">
        <w:rPr>
          <w:rFonts w:ascii="Times New Roman" w:hAnsi="Times New Roman"/>
          <w:sz w:val="24"/>
          <w:szCs w:val="24"/>
          <w:lang w:eastAsia="bg-BG"/>
        </w:rPr>
        <w:t>);</w:t>
      </w:r>
    </w:p>
    <w:p w14:paraId="574C15F2" w14:textId="7F9B8E6A"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 xml:space="preserve">Протокол за откриване на строителна площадка и за определяне на строителна линия и ниво (образец № 2/2а съгласно </w:t>
      </w:r>
      <w:hyperlink r:id="rId8" w:history="1">
        <w:r w:rsidRPr="00127AD6">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127AD6">
        <w:rPr>
          <w:rFonts w:ascii="Times New Roman" w:hAnsi="Times New Roman"/>
          <w:sz w:val="24"/>
          <w:szCs w:val="24"/>
          <w:lang w:eastAsia="bg-BG"/>
        </w:rPr>
        <w:t xml:space="preserve"> (ДВ, бр. 72 от 2003 г. )</w:t>
      </w:r>
      <w:r w:rsidR="008F5155" w:rsidRPr="00127AD6">
        <w:rPr>
          <w:rFonts w:ascii="Times New Roman" w:hAnsi="Times New Roman"/>
          <w:sz w:val="24"/>
          <w:szCs w:val="24"/>
          <w:lang w:eastAsia="bg-BG"/>
        </w:rPr>
        <w:t>;</w:t>
      </w:r>
    </w:p>
    <w:p w14:paraId="1CF2C0DB" w14:textId="4F1A3B07"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 xml:space="preserve">Акт за установяване състоянието на строежа при спиране на строителството (образец № 10 съгласно </w:t>
      </w:r>
      <w:hyperlink r:id="rId9" w:history="1">
        <w:r w:rsidRPr="00127AD6">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8F5155" w:rsidRPr="00127AD6">
        <w:rPr>
          <w:rFonts w:ascii="Times New Roman" w:hAnsi="Times New Roman"/>
          <w:sz w:val="24"/>
          <w:szCs w:val="24"/>
          <w:lang w:eastAsia="bg-BG"/>
        </w:rPr>
        <w:t>)</w:t>
      </w:r>
      <w:r w:rsidR="00600AA9" w:rsidRPr="00127AD6">
        <w:rPr>
          <w:rFonts w:ascii="Times New Roman" w:hAnsi="Times New Roman"/>
          <w:sz w:val="24"/>
          <w:szCs w:val="24"/>
          <w:lang w:eastAsia="bg-BG"/>
        </w:rPr>
        <w:t xml:space="preserve"> (</w:t>
      </w:r>
      <w:r w:rsidR="00600AA9" w:rsidRPr="00127AD6">
        <w:rPr>
          <w:rFonts w:ascii="Times New Roman" w:hAnsi="Times New Roman"/>
          <w:sz w:val="24"/>
          <w:szCs w:val="24"/>
        </w:rPr>
        <w:t>в случай, че е приложимо и същия документ не е описан в окончателните актове)</w:t>
      </w:r>
      <w:r w:rsidR="008F5155" w:rsidRPr="00127AD6">
        <w:rPr>
          <w:rFonts w:ascii="Times New Roman" w:hAnsi="Times New Roman"/>
          <w:sz w:val="24"/>
          <w:szCs w:val="24"/>
          <w:lang w:eastAsia="bg-BG"/>
        </w:rPr>
        <w:t>;</w:t>
      </w:r>
    </w:p>
    <w:p w14:paraId="27DD402A" w14:textId="1001A811"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 xml:space="preserve">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10" w:history="1">
        <w:r w:rsidRPr="00127AD6">
          <w:rPr>
            <w:rFonts w:ascii="Times New Roman" w:hAnsi="Times New Roman"/>
            <w:sz w:val="24"/>
            <w:szCs w:val="24"/>
            <w:lang w:eastAsia="bg-BG"/>
          </w:rPr>
          <w:t>чл. 7, ал. 3</w:t>
        </w:r>
      </w:hyperlink>
      <w:r w:rsidRPr="00127AD6">
        <w:rPr>
          <w:rFonts w:ascii="Times New Roman" w:hAnsi="Times New Roman"/>
          <w:sz w:val="24"/>
          <w:szCs w:val="24"/>
          <w:lang w:eastAsia="bg-BG"/>
        </w:rPr>
        <w:t xml:space="preserve">, т. </w:t>
      </w:r>
      <w:hyperlink r:id="rId11" w:history="1">
        <w:r w:rsidRPr="00127AD6">
          <w:rPr>
            <w:rFonts w:ascii="Times New Roman" w:hAnsi="Times New Roman"/>
            <w:sz w:val="24"/>
            <w:szCs w:val="24"/>
            <w:lang w:eastAsia="bg-BG"/>
          </w:rPr>
          <w:t>10 от Наредба № 3 от 2003 г. за съставяне на актове и протоколи по време на строителството</w:t>
        </w:r>
      </w:hyperlink>
      <w:r w:rsidRPr="00127AD6">
        <w:rPr>
          <w:rFonts w:ascii="Times New Roman" w:hAnsi="Times New Roman"/>
          <w:sz w:val="24"/>
          <w:szCs w:val="24"/>
          <w:lang w:eastAsia="bg-BG"/>
        </w:rPr>
        <w:t xml:space="preserve"> и други случаи (образец № 11 съгласно </w:t>
      </w:r>
      <w:hyperlink r:id="rId12" w:history="1">
        <w:r w:rsidRPr="00127AD6">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8F5155" w:rsidRPr="00127AD6">
        <w:rPr>
          <w:rFonts w:ascii="Times New Roman" w:hAnsi="Times New Roman"/>
          <w:sz w:val="24"/>
          <w:szCs w:val="24"/>
          <w:lang w:eastAsia="bg-BG"/>
        </w:rPr>
        <w:t>)</w:t>
      </w:r>
      <w:r w:rsidR="00600AA9" w:rsidRPr="00127AD6">
        <w:rPr>
          <w:rFonts w:ascii="Times New Roman" w:hAnsi="Times New Roman"/>
          <w:sz w:val="24"/>
          <w:szCs w:val="24"/>
          <w:lang w:eastAsia="bg-BG"/>
        </w:rPr>
        <w:t xml:space="preserve"> (</w:t>
      </w:r>
      <w:r w:rsidR="00600AA9" w:rsidRPr="00127AD6">
        <w:rPr>
          <w:rFonts w:ascii="Times New Roman" w:hAnsi="Times New Roman"/>
          <w:sz w:val="24"/>
          <w:szCs w:val="24"/>
        </w:rPr>
        <w:t>в случай, че е приложимо и същия документ не е описан в окончателните актове)</w:t>
      </w:r>
      <w:r w:rsidR="008F5155" w:rsidRPr="00127AD6">
        <w:rPr>
          <w:rFonts w:ascii="Times New Roman" w:hAnsi="Times New Roman"/>
          <w:sz w:val="24"/>
          <w:szCs w:val="24"/>
          <w:lang w:eastAsia="bg-BG"/>
        </w:rPr>
        <w:t>;</w:t>
      </w:r>
    </w:p>
    <w:p w14:paraId="6DF36458" w14:textId="4D1D1107"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w:t>
      </w:r>
      <w:r w:rsidR="008F5155" w:rsidRPr="00127AD6">
        <w:rPr>
          <w:rFonts w:ascii="Times New Roman" w:hAnsi="Times New Roman"/>
          <w:sz w:val="24"/>
          <w:szCs w:val="24"/>
          <w:lang w:eastAsia="bg-BG"/>
        </w:rPr>
        <w:t xml:space="preserve"> за лоши метеорологични условия</w:t>
      </w:r>
      <w:r w:rsidR="00600AA9" w:rsidRPr="00127AD6">
        <w:rPr>
          <w:rFonts w:ascii="Times New Roman" w:hAnsi="Times New Roman"/>
          <w:sz w:val="24"/>
          <w:szCs w:val="24"/>
          <w:lang w:eastAsia="bg-BG"/>
        </w:rPr>
        <w:t xml:space="preserve"> (</w:t>
      </w:r>
      <w:r w:rsidR="00600AA9" w:rsidRPr="00127AD6">
        <w:rPr>
          <w:rFonts w:ascii="Times New Roman" w:hAnsi="Times New Roman"/>
          <w:sz w:val="24"/>
          <w:szCs w:val="24"/>
        </w:rPr>
        <w:t>в случай, че е приложимо и същия документ не е описан в окончателните актове)</w:t>
      </w:r>
      <w:r w:rsidR="008F5155" w:rsidRPr="00127AD6">
        <w:rPr>
          <w:rFonts w:ascii="Times New Roman" w:hAnsi="Times New Roman"/>
          <w:sz w:val="24"/>
          <w:szCs w:val="24"/>
          <w:lang w:eastAsia="bg-BG"/>
        </w:rPr>
        <w:t>;</w:t>
      </w:r>
    </w:p>
    <w:p w14:paraId="2D5D830C" w14:textId="39A8AD2B"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lastRenderedPageBreak/>
        <w:t xml:space="preserve">Констативен акт за установяване годността за приемане на строежа (част, етап от него) (образец № 15 съгласно </w:t>
      </w:r>
      <w:hyperlink r:id="rId13" w:history="1">
        <w:r w:rsidRPr="00127AD6">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8F5155" w:rsidRPr="00127AD6">
        <w:rPr>
          <w:rFonts w:ascii="Times New Roman" w:hAnsi="Times New Roman"/>
          <w:sz w:val="24"/>
          <w:szCs w:val="24"/>
          <w:lang w:eastAsia="bg-BG"/>
        </w:rPr>
        <w:t>)</w:t>
      </w:r>
      <w:r w:rsidR="008F2D5A" w:rsidRPr="00127AD6">
        <w:rPr>
          <w:rFonts w:ascii="Times New Roman" w:hAnsi="Times New Roman"/>
          <w:sz w:val="24"/>
          <w:szCs w:val="24"/>
          <w:lang w:eastAsia="bg-BG"/>
        </w:rPr>
        <w:t xml:space="preserve"> (</w:t>
      </w:r>
      <w:r w:rsidR="008F2D5A" w:rsidRPr="00127AD6">
        <w:rPr>
          <w:rFonts w:ascii="Times New Roman" w:hAnsi="Times New Roman"/>
          <w:sz w:val="24"/>
          <w:szCs w:val="24"/>
        </w:rPr>
        <w:t>при кандидатстване за окончателно плащане</w:t>
      </w:r>
      <w:r w:rsidR="008F2D5A" w:rsidRPr="00127AD6">
        <w:rPr>
          <w:rFonts w:ascii="Times New Roman" w:hAnsi="Times New Roman"/>
          <w:sz w:val="24"/>
          <w:szCs w:val="24"/>
          <w:lang w:eastAsia="bg-BG"/>
        </w:rPr>
        <w:t>)</w:t>
      </w:r>
      <w:r w:rsidR="008F5155" w:rsidRPr="00127AD6">
        <w:rPr>
          <w:rFonts w:ascii="Times New Roman" w:hAnsi="Times New Roman"/>
          <w:sz w:val="24"/>
          <w:szCs w:val="24"/>
          <w:lang w:eastAsia="bg-BG"/>
        </w:rPr>
        <w:t>;</w:t>
      </w:r>
    </w:p>
    <w:p w14:paraId="77793F98" w14:textId="534F40D0"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 xml:space="preserve">Протокол за установяване годността за ползване на строежа (частта, етапа от него) (образец № 16 съгласно </w:t>
      </w:r>
      <w:hyperlink r:id="rId14" w:history="1">
        <w:r w:rsidRPr="00127AD6">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8F5155" w:rsidRPr="00127AD6">
        <w:rPr>
          <w:rFonts w:ascii="Times New Roman" w:hAnsi="Times New Roman"/>
          <w:sz w:val="24"/>
          <w:szCs w:val="24"/>
          <w:lang w:eastAsia="bg-BG"/>
        </w:rPr>
        <w:t>)</w:t>
      </w:r>
      <w:r w:rsidR="000F1F48" w:rsidRPr="00127AD6">
        <w:rPr>
          <w:rFonts w:ascii="Times New Roman" w:hAnsi="Times New Roman"/>
          <w:sz w:val="24"/>
          <w:szCs w:val="24"/>
          <w:lang w:eastAsia="bg-BG"/>
        </w:rPr>
        <w:t xml:space="preserve"> (</w:t>
      </w:r>
      <w:r w:rsidR="000F1F48" w:rsidRPr="00127AD6">
        <w:rPr>
          <w:rFonts w:ascii="Times New Roman" w:hAnsi="Times New Roman"/>
          <w:sz w:val="24"/>
          <w:szCs w:val="24"/>
        </w:rPr>
        <w:t>при кандидатстване за окончателно плащане</w:t>
      </w:r>
      <w:r w:rsidR="000F1F48" w:rsidRPr="00127AD6">
        <w:rPr>
          <w:rFonts w:ascii="Times New Roman" w:hAnsi="Times New Roman"/>
          <w:sz w:val="24"/>
          <w:szCs w:val="24"/>
          <w:lang w:eastAsia="bg-BG"/>
        </w:rPr>
        <w:t>)</w:t>
      </w:r>
      <w:r w:rsidR="008F5155" w:rsidRPr="00127AD6">
        <w:rPr>
          <w:rFonts w:ascii="Times New Roman" w:hAnsi="Times New Roman"/>
          <w:sz w:val="24"/>
          <w:szCs w:val="24"/>
          <w:lang w:eastAsia="bg-BG"/>
        </w:rPr>
        <w:t>;</w:t>
      </w:r>
    </w:p>
    <w:p w14:paraId="01899B11" w14:textId="1ED604AC"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 xml:space="preserve">Протокол за проведена 72-часова проба при експлоатационни условия (образец № 17 съгласно </w:t>
      </w:r>
      <w:hyperlink r:id="rId15" w:history="1">
        <w:r w:rsidRPr="00127AD6">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127AD6">
        <w:rPr>
          <w:rFonts w:ascii="Times New Roman" w:hAnsi="Times New Roman"/>
          <w:sz w:val="24"/>
          <w:szCs w:val="24"/>
          <w:lang w:eastAsia="bg-BG"/>
        </w:rPr>
        <w:t>) в случаите, когато се изисква съгласно действащата нормативна уред</w:t>
      </w:r>
      <w:r w:rsidR="008F5155" w:rsidRPr="00127AD6">
        <w:rPr>
          <w:rFonts w:ascii="Times New Roman" w:hAnsi="Times New Roman"/>
          <w:sz w:val="24"/>
          <w:szCs w:val="24"/>
          <w:lang w:eastAsia="bg-BG"/>
        </w:rPr>
        <w:t>ба;</w:t>
      </w:r>
    </w:p>
    <w:p w14:paraId="170E7D92" w14:textId="0F0E60CD"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Удостоверение за въвеждане в експлоатация на строежа, издадено от органа, издал разрешението за строеж - за строе</w:t>
      </w:r>
      <w:r w:rsidR="008F5155" w:rsidRPr="00127AD6">
        <w:rPr>
          <w:rFonts w:ascii="Times New Roman" w:hAnsi="Times New Roman"/>
          <w:sz w:val="24"/>
          <w:szCs w:val="24"/>
          <w:lang w:eastAsia="bg-BG"/>
        </w:rPr>
        <w:t>жи от четвърта и пета категория</w:t>
      </w:r>
      <w:r w:rsidR="000F1F48" w:rsidRPr="00127AD6">
        <w:rPr>
          <w:rFonts w:ascii="Times New Roman" w:hAnsi="Times New Roman"/>
          <w:sz w:val="24"/>
          <w:szCs w:val="24"/>
          <w:lang w:eastAsia="bg-BG"/>
        </w:rPr>
        <w:t xml:space="preserve"> (</w:t>
      </w:r>
      <w:r w:rsidR="000F1F48" w:rsidRPr="00127AD6">
        <w:rPr>
          <w:rFonts w:ascii="Times New Roman" w:hAnsi="Times New Roman"/>
          <w:sz w:val="24"/>
          <w:szCs w:val="24"/>
        </w:rPr>
        <w:t>при кандидатстване за окончателно плащане</w:t>
      </w:r>
      <w:r w:rsidR="000F1F48" w:rsidRPr="00127AD6">
        <w:rPr>
          <w:rFonts w:ascii="Times New Roman" w:hAnsi="Times New Roman"/>
          <w:sz w:val="24"/>
          <w:szCs w:val="24"/>
          <w:lang w:eastAsia="bg-BG"/>
        </w:rPr>
        <w:t>)</w:t>
      </w:r>
      <w:r w:rsidR="008F5155" w:rsidRPr="00127AD6">
        <w:rPr>
          <w:rFonts w:ascii="Times New Roman" w:hAnsi="Times New Roman"/>
          <w:sz w:val="24"/>
          <w:szCs w:val="24"/>
          <w:lang w:eastAsia="bg-BG"/>
        </w:rPr>
        <w:t>;</w:t>
      </w:r>
    </w:p>
    <w:p w14:paraId="21F40BD4" w14:textId="23A18C35"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 xml:space="preserve">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16" w:anchor="чл137_ал1');" w:history="1">
        <w:r w:rsidRPr="00127AD6">
          <w:rPr>
            <w:rFonts w:ascii="Times New Roman" w:hAnsi="Times New Roman"/>
            <w:sz w:val="24"/>
            <w:szCs w:val="24"/>
            <w:lang w:eastAsia="bg-BG"/>
          </w:rPr>
          <w:t>чл. 137, ал. 1</w:t>
        </w:r>
      </w:hyperlink>
      <w:r w:rsidRPr="00127AD6">
        <w:rPr>
          <w:rFonts w:ascii="Times New Roman" w:hAnsi="Times New Roman"/>
          <w:sz w:val="24"/>
          <w:szCs w:val="24"/>
          <w:lang w:eastAsia="bg-BG"/>
        </w:rPr>
        <w:t xml:space="preserve"> от </w:t>
      </w:r>
      <w:hyperlink r:id="rId17" w:history="1">
        <w:r w:rsidRPr="00127AD6">
          <w:rPr>
            <w:rFonts w:ascii="Times New Roman" w:hAnsi="Times New Roman"/>
            <w:sz w:val="24"/>
            <w:szCs w:val="24"/>
            <w:lang w:eastAsia="bg-BG"/>
          </w:rPr>
          <w:t>Закона за устройство на територията</w:t>
        </w:r>
      </w:hyperlink>
      <w:r w:rsidR="00334372" w:rsidRPr="00127AD6">
        <w:rPr>
          <w:rFonts w:ascii="Times New Roman" w:hAnsi="Times New Roman"/>
          <w:sz w:val="24"/>
          <w:szCs w:val="24"/>
          <w:lang w:eastAsia="bg-BG"/>
        </w:rPr>
        <w:t xml:space="preserve"> (</w:t>
      </w:r>
      <w:r w:rsidR="00334372" w:rsidRPr="00127AD6">
        <w:rPr>
          <w:rFonts w:ascii="Times New Roman" w:hAnsi="Times New Roman"/>
          <w:sz w:val="24"/>
          <w:szCs w:val="24"/>
        </w:rPr>
        <w:t>при кандидатстване за окончателно плащане</w:t>
      </w:r>
      <w:r w:rsidR="00334372" w:rsidRPr="00127AD6">
        <w:rPr>
          <w:rFonts w:ascii="Times New Roman" w:hAnsi="Times New Roman"/>
          <w:sz w:val="24"/>
          <w:szCs w:val="24"/>
          <w:lang w:eastAsia="bg-BG"/>
        </w:rPr>
        <w:t>)</w:t>
      </w:r>
      <w:r w:rsidR="008F5155" w:rsidRPr="00127AD6">
        <w:rPr>
          <w:rFonts w:ascii="Times New Roman" w:hAnsi="Times New Roman"/>
          <w:sz w:val="24"/>
          <w:szCs w:val="24"/>
          <w:lang w:eastAsia="bg-BG"/>
        </w:rPr>
        <w:t>;</w:t>
      </w:r>
    </w:p>
    <w:p w14:paraId="2A76956D" w14:textId="581755E9"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 xml:space="preserve">Писмо-обосновка, съгласувано от лицето, упражняващо строителен надзор, и подробна количествено-стойностна сметка) от строителя, детайлно изясняваща обстоятелствата, наложили извършването на допълнителни строително-монтажни дейности (когато е приложимо). Представя се в </w:t>
      </w:r>
      <w:r w:rsidR="002C75E1" w:rsidRPr="00127AD6">
        <w:rPr>
          <w:rFonts w:ascii="Times New Roman" w:hAnsi="Times New Roman"/>
          <w:sz w:val="24"/>
          <w:szCs w:val="24"/>
          <w:lang w:eastAsia="bg-BG"/>
        </w:rPr>
        <w:t xml:space="preserve">два </w:t>
      </w:r>
      <w:r w:rsidRPr="00127AD6">
        <w:rPr>
          <w:rFonts w:ascii="Times New Roman" w:hAnsi="Times New Roman"/>
          <w:sz w:val="24"/>
          <w:szCs w:val="24"/>
          <w:lang w:eastAsia="bg-BG"/>
        </w:rPr>
        <w:t>формат</w:t>
      </w:r>
      <w:r w:rsidR="002C75E1" w:rsidRPr="00127AD6">
        <w:rPr>
          <w:rFonts w:ascii="Times New Roman" w:hAnsi="Times New Roman"/>
          <w:sz w:val="24"/>
          <w:szCs w:val="24"/>
          <w:lang w:eastAsia="bg-BG"/>
        </w:rPr>
        <w:t>а</w:t>
      </w:r>
      <w:r w:rsidRPr="00127AD6">
        <w:rPr>
          <w:rFonts w:ascii="Times New Roman" w:hAnsi="Times New Roman"/>
          <w:sz w:val="24"/>
          <w:szCs w:val="24"/>
          <w:lang w:eastAsia="bg-BG"/>
        </w:rPr>
        <w:t xml:space="preserve"> </w:t>
      </w:r>
      <w:r w:rsidR="002C75E1" w:rsidRPr="00127AD6">
        <w:rPr>
          <w:rFonts w:ascii="Times New Roman" w:hAnsi="Times New Roman"/>
          <w:sz w:val="24"/>
          <w:szCs w:val="24"/>
          <w:lang w:eastAsia="bg-BG"/>
        </w:rPr>
        <w:t>„рdf“ или „jpg“ и на „xls“ или „xlsx“</w:t>
      </w:r>
      <w:r w:rsidR="00451C27" w:rsidRPr="00127AD6">
        <w:rPr>
          <w:rFonts w:ascii="Times New Roman" w:hAnsi="Times New Roman"/>
          <w:sz w:val="24"/>
          <w:szCs w:val="24"/>
          <w:lang w:eastAsia="bg-BG"/>
        </w:rPr>
        <w:t>;</w:t>
      </w:r>
    </w:p>
    <w:p w14:paraId="224F4AC8" w14:textId="36D87F6D" w:rsidR="00B22D61" w:rsidRPr="00127AD6" w:rsidRDefault="00B22D61"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lang w:eastAsia="bg-BG"/>
        </w:rPr>
        <w:t>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w:t>
      </w:r>
      <w:r w:rsidR="00451C27" w:rsidRPr="00127AD6">
        <w:rPr>
          <w:rFonts w:ascii="Times New Roman" w:hAnsi="Times New Roman"/>
          <w:sz w:val="24"/>
          <w:szCs w:val="24"/>
          <w:lang w:eastAsia="bg-BG"/>
        </w:rPr>
        <w:t xml:space="preserve"> приложимо);</w:t>
      </w:r>
    </w:p>
    <w:p w14:paraId="2A9D45ED" w14:textId="69B32EBB" w:rsidR="00F20845" w:rsidRPr="00127AD6" w:rsidRDefault="00F20845"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rPr>
        <w:t xml:space="preserve">Ситуационна схема на линеен обект (съоръжение), включваща и кадастралните имоти в обхвата на напоителното поле, засегнато от инвестицията по проекта към момента на подаване на искането за окончателно плащане </w:t>
      </w:r>
      <w:r w:rsidRPr="00127AD6">
        <w:rPr>
          <w:rFonts w:ascii="Times New Roman" w:hAnsi="Times New Roman"/>
          <w:b/>
          <w:sz w:val="24"/>
          <w:szCs w:val="24"/>
        </w:rPr>
        <w:t>или</w:t>
      </w:r>
      <w:r w:rsidRPr="00127AD6">
        <w:rPr>
          <w:rFonts w:ascii="Times New Roman" w:hAnsi="Times New Roman"/>
          <w:sz w:val="24"/>
          <w:szCs w:val="24"/>
        </w:rPr>
        <w:t xml:space="preserve"> Специализирана карта съгласно Закона за кадастъра и имотния регистър (ЗКИР) с отразени поливните съоръжения и кадастралните имоти в обхвата на напоителното поле, засегнато от инвестицията по проекта </w:t>
      </w:r>
      <w:r w:rsidRPr="00127AD6">
        <w:rPr>
          <w:rFonts w:ascii="Times New Roman" w:hAnsi="Times New Roman"/>
          <w:b/>
          <w:sz w:val="24"/>
          <w:szCs w:val="24"/>
        </w:rPr>
        <w:t>или</w:t>
      </w:r>
      <w:r w:rsidRPr="00127AD6">
        <w:rPr>
          <w:rFonts w:ascii="Times New Roman" w:hAnsi="Times New Roman"/>
          <w:sz w:val="24"/>
          <w:szCs w:val="24"/>
        </w:rPr>
        <w:t xml:space="preserve"> Скица от карта за възстановена собственост (КВС) с отразени поливните съоръжения, обект на проектното предложение, включваща и кадастралните имоти в обхвата на напоителното поле, засегнато от инвестицията по проекта към момента на подаване на искането за окончателно плащане. Представ</w:t>
      </w:r>
      <w:r w:rsidR="004B557C" w:rsidRPr="00127AD6">
        <w:rPr>
          <w:rFonts w:ascii="Times New Roman" w:hAnsi="Times New Roman"/>
          <w:sz w:val="24"/>
          <w:szCs w:val="24"/>
        </w:rPr>
        <w:t>я се във формат „pdf“ или „jpg“;</w:t>
      </w:r>
    </w:p>
    <w:p w14:paraId="1A14B1E0" w14:textId="0658DF3B" w:rsidR="004B557C" w:rsidRPr="00127AD6" w:rsidRDefault="004B557C" w:rsidP="0085075B">
      <w:pPr>
        <w:numPr>
          <w:ilvl w:val="0"/>
          <w:numId w:val="4"/>
        </w:numPr>
        <w:spacing w:after="0" w:line="276" w:lineRule="auto"/>
        <w:ind w:left="0" w:firstLine="0"/>
        <w:jc w:val="both"/>
        <w:rPr>
          <w:rFonts w:ascii="Times New Roman" w:hAnsi="Times New Roman"/>
          <w:sz w:val="24"/>
          <w:szCs w:val="24"/>
          <w:lang w:eastAsia="bg-BG"/>
        </w:rPr>
      </w:pPr>
      <w:r w:rsidRPr="00127AD6">
        <w:rPr>
          <w:rFonts w:ascii="Times New Roman" w:hAnsi="Times New Roman"/>
          <w:sz w:val="24"/>
          <w:szCs w:val="24"/>
        </w:rPr>
        <w:t>Документ за право на ползване на обекта/обектите на инвестиция за срок не по-кратък от изтичане на мониторинговия период,  нотариално заверен и вписан в службата по вписванията към Агенция по вписванията (отнася се за обектите на инвестиция, включително за закупуване и/или инсталиране на нови машини, оборудване и съоръжения, необходими за подобряване на дейностите, свързани с напояване</w:t>
      </w:r>
      <w:r w:rsidRPr="00127AD6" w:rsidDel="001A23F7">
        <w:rPr>
          <w:rFonts w:ascii="Times New Roman" w:hAnsi="Times New Roman"/>
          <w:sz w:val="24"/>
          <w:szCs w:val="24"/>
        </w:rPr>
        <w:t xml:space="preserve"> </w:t>
      </w:r>
      <w:r w:rsidRPr="00127AD6">
        <w:rPr>
          <w:rFonts w:ascii="Times New Roman" w:hAnsi="Times New Roman"/>
          <w:sz w:val="24"/>
          <w:szCs w:val="24"/>
        </w:rPr>
        <w:t>и/или обновяване на сгради и/или помещения, за които не се изисква издаване на разрешение за строеж, съгласно ЗУТ);</w:t>
      </w:r>
    </w:p>
    <w:p w14:paraId="73724E0D" w14:textId="241C0AA3" w:rsidR="00451C27" w:rsidRPr="00127AD6" w:rsidRDefault="00451C27" w:rsidP="0085075B">
      <w:pPr>
        <w:spacing w:after="0" w:line="276" w:lineRule="auto"/>
        <w:jc w:val="both"/>
        <w:rPr>
          <w:rFonts w:ascii="Times New Roman" w:hAnsi="Times New Roman"/>
          <w:b/>
          <w:sz w:val="24"/>
          <w:szCs w:val="24"/>
        </w:rPr>
      </w:pPr>
      <w:r w:rsidRPr="00127AD6">
        <w:rPr>
          <w:rFonts w:ascii="Times New Roman" w:hAnsi="Times New Roman"/>
          <w:b/>
          <w:sz w:val="24"/>
          <w:szCs w:val="24"/>
        </w:rPr>
        <w:t>Б. Специфични документи:</w:t>
      </w:r>
    </w:p>
    <w:p w14:paraId="2E4D19AB" w14:textId="0B15E4E0" w:rsidR="00F907D8" w:rsidRPr="00127AD6" w:rsidRDefault="000057A2" w:rsidP="0085075B">
      <w:pPr>
        <w:spacing w:after="0" w:line="276" w:lineRule="auto"/>
        <w:jc w:val="both"/>
        <w:rPr>
          <w:rFonts w:ascii="Times New Roman" w:hAnsi="Times New Roman"/>
          <w:sz w:val="24"/>
          <w:szCs w:val="24"/>
          <w:lang w:eastAsia="bg-BG"/>
        </w:rPr>
      </w:pPr>
      <w:r w:rsidRPr="00127AD6">
        <w:rPr>
          <w:rStyle w:val="p"/>
          <w:rFonts w:ascii="Times New Roman" w:hAnsi="Times New Roman"/>
          <w:sz w:val="24"/>
          <w:szCs w:val="24"/>
        </w:rPr>
        <w:t xml:space="preserve">1. </w:t>
      </w:r>
      <w:r w:rsidR="004B557C" w:rsidRPr="00127AD6">
        <w:rPr>
          <w:rFonts w:ascii="Times New Roman" w:hAnsi="Times New Roman"/>
          <w:sz w:val="24"/>
          <w:szCs w:val="24"/>
        </w:rPr>
        <w:t>Разрешително за водовземане съгласно Закона за водите или договор с титуляр на разрешително за водовземане, (ведно с неговото разрешително), валидни от изтичането на разрешителното/договора, приложени при подаване на проектното предложение, до изтичане на периода на мониторинг</w:t>
      </w:r>
      <w:r w:rsidR="00362151" w:rsidRPr="00127AD6">
        <w:rPr>
          <w:rFonts w:ascii="Times New Roman" w:hAnsi="Times New Roman"/>
          <w:sz w:val="24"/>
          <w:szCs w:val="24"/>
        </w:rPr>
        <w:t>;</w:t>
      </w:r>
    </w:p>
    <w:p w14:paraId="298C1BE7" w14:textId="5FB977AF" w:rsidR="00D57667" w:rsidRPr="00127AD6" w:rsidRDefault="00362151" w:rsidP="0085075B">
      <w:pPr>
        <w:spacing w:after="0" w:line="276" w:lineRule="auto"/>
        <w:jc w:val="both"/>
        <w:rPr>
          <w:rFonts w:ascii="Times New Roman" w:hAnsi="Times New Roman"/>
          <w:sz w:val="24"/>
          <w:szCs w:val="24"/>
          <w:lang w:eastAsia="bg-BG"/>
        </w:rPr>
      </w:pPr>
      <w:r w:rsidRPr="00127AD6">
        <w:rPr>
          <w:rFonts w:ascii="Times New Roman" w:hAnsi="Times New Roman"/>
          <w:sz w:val="24"/>
          <w:szCs w:val="24"/>
          <w:lang w:eastAsia="bg-BG"/>
        </w:rPr>
        <w:t>2</w:t>
      </w:r>
      <w:r w:rsidR="00D57667" w:rsidRPr="00127AD6">
        <w:rPr>
          <w:rFonts w:ascii="Times New Roman" w:hAnsi="Times New Roman"/>
          <w:sz w:val="24"/>
          <w:szCs w:val="24"/>
          <w:lang w:eastAsia="bg-BG"/>
        </w:rPr>
        <w:t xml:space="preserve">. Сертификат за </w:t>
      </w:r>
      <w:r w:rsidR="00D57667" w:rsidRPr="00127AD6">
        <w:rPr>
          <w:rStyle w:val="p"/>
          <w:rFonts w:ascii="Times New Roman" w:hAnsi="Times New Roman"/>
          <w:sz w:val="24"/>
          <w:szCs w:val="24"/>
        </w:rPr>
        <w:t>енергийни</w:t>
      </w:r>
      <w:r w:rsidR="00D57667" w:rsidRPr="00127AD6">
        <w:rPr>
          <w:rFonts w:ascii="Times New Roman" w:hAnsi="Times New Roman"/>
          <w:sz w:val="24"/>
          <w:szCs w:val="24"/>
          <w:lang w:eastAsia="bg-BG"/>
        </w:rPr>
        <w:t xml:space="preserve">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18" w:history="1">
        <w:r w:rsidR="00D57667" w:rsidRPr="00127AD6">
          <w:rPr>
            <w:rStyle w:val="Hyperlink"/>
            <w:rFonts w:ascii="Times New Roman" w:hAnsi="Times New Roman"/>
            <w:color w:val="auto"/>
            <w:sz w:val="24"/>
            <w:szCs w:val="24"/>
            <w:u w:val="none"/>
            <w:lang w:eastAsia="bg-BG"/>
          </w:rPr>
          <w:t>чл. 43, ал. 1</w:t>
        </w:r>
      </w:hyperlink>
      <w:r w:rsidR="00D57667" w:rsidRPr="00127AD6">
        <w:rPr>
          <w:rFonts w:ascii="Times New Roman" w:hAnsi="Times New Roman"/>
          <w:sz w:val="24"/>
          <w:szCs w:val="24"/>
          <w:lang w:eastAsia="bg-BG"/>
        </w:rPr>
        <w:t xml:space="preserve">, съответно по </w:t>
      </w:r>
      <w:hyperlink r:id="rId19" w:anchor="чл43_ал2');" w:history="1">
        <w:r w:rsidR="00D57667" w:rsidRPr="00127AD6">
          <w:rPr>
            <w:rStyle w:val="Hyperlink"/>
            <w:rFonts w:ascii="Times New Roman" w:hAnsi="Times New Roman"/>
            <w:color w:val="auto"/>
            <w:sz w:val="24"/>
            <w:szCs w:val="24"/>
            <w:u w:val="none"/>
            <w:lang w:eastAsia="bg-BG"/>
          </w:rPr>
          <w:t>чл. 43, ал. 2</w:t>
        </w:r>
      </w:hyperlink>
      <w:r w:rsidR="00D57667" w:rsidRPr="00127AD6">
        <w:rPr>
          <w:rFonts w:ascii="Times New Roman" w:hAnsi="Times New Roman"/>
          <w:sz w:val="24"/>
          <w:szCs w:val="24"/>
          <w:lang w:eastAsia="bg-BG"/>
        </w:rPr>
        <w:t xml:space="preserve"> от </w:t>
      </w:r>
      <w:hyperlink r:id="rId20" w:history="1">
        <w:r w:rsidR="00D57667" w:rsidRPr="00127AD6">
          <w:rPr>
            <w:rStyle w:val="Hyperlink"/>
            <w:rFonts w:ascii="Times New Roman" w:hAnsi="Times New Roman"/>
            <w:color w:val="auto"/>
            <w:sz w:val="24"/>
            <w:szCs w:val="24"/>
            <w:u w:val="none"/>
            <w:lang w:eastAsia="bg-BG"/>
          </w:rPr>
          <w:t>Закона за енергийната ефективност</w:t>
        </w:r>
      </w:hyperlink>
      <w:r w:rsidR="00D57667" w:rsidRPr="00127AD6">
        <w:rPr>
          <w:rFonts w:ascii="Times New Roman" w:hAnsi="Times New Roman"/>
          <w:sz w:val="24"/>
          <w:szCs w:val="24"/>
          <w:lang w:eastAsia="bg-BG"/>
        </w:rPr>
        <w:t>, по образец съгласно П</w:t>
      </w:r>
      <w:hyperlink r:id="rId21" w:history="1">
        <w:r w:rsidR="00D57667" w:rsidRPr="00127AD6">
          <w:rPr>
            <w:rStyle w:val="Hyperlink"/>
            <w:rFonts w:ascii="Times New Roman" w:hAnsi="Times New Roman"/>
            <w:color w:val="auto"/>
            <w:sz w:val="24"/>
            <w:szCs w:val="24"/>
            <w:u w:val="none"/>
            <w:lang w:eastAsia="bg-BG"/>
          </w:rPr>
          <w:t>риложение № 3</w:t>
        </w:r>
      </w:hyperlink>
      <w:r w:rsidR="00D57667" w:rsidRPr="00127AD6">
        <w:rPr>
          <w:rFonts w:ascii="Times New Roman" w:hAnsi="Times New Roman"/>
          <w:sz w:val="24"/>
          <w:szCs w:val="24"/>
          <w:lang w:eastAsia="bg-BG"/>
        </w:rPr>
        <w:t>. (когато е приложимо)</w:t>
      </w:r>
      <w:r w:rsidRPr="00127AD6">
        <w:rPr>
          <w:rFonts w:ascii="Times New Roman" w:hAnsi="Times New Roman"/>
          <w:sz w:val="24"/>
          <w:szCs w:val="24"/>
          <w:lang w:eastAsia="bg-BG"/>
        </w:rPr>
        <w:t>;</w:t>
      </w:r>
    </w:p>
    <w:p w14:paraId="6E5EA431" w14:textId="410354C0" w:rsidR="004B557C" w:rsidRPr="00127AD6" w:rsidRDefault="00217A4E" w:rsidP="0085075B">
      <w:pPr>
        <w:spacing w:after="0" w:line="276" w:lineRule="auto"/>
        <w:jc w:val="both"/>
        <w:rPr>
          <w:rFonts w:ascii="Times New Roman" w:hAnsi="Times New Roman"/>
          <w:sz w:val="24"/>
          <w:szCs w:val="24"/>
          <w:lang w:eastAsia="bg-BG"/>
        </w:rPr>
      </w:pPr>
      <w:r w:rsidRPr="00127AD6">
        <w:rPr>
          <w:rFonts w:ascii="Times New Roman" w:hAnsi="Times New Roman"/>
          <w:sz w:val="24"/>
          <w:szCs w:val="24"/>
          <w:lang w:eastAsia="bg-BG"/>
        </w:rPr>
        <w:lastRenderedPageBreak/>
        <w:t>3</w:t>
      </w:r>
      <w:r w:rsidR="004B557C" w:rsidRPr="00127AD6">
        <w:rPr>
          <w:rFonts w:ascii="Times New Roman" w:hAnsi="Times New Roman"/>
          <w:sz w:val="24"/>
          <w:szCs w:val="24"/>
          <w:lang w:eastAsia="bg-BG"/>
        </w:rPr>
        <w:t>. Свидетелство за регистрация на моторно превозно средство (важи в случаите на инвестиции за закупуване на моторни превозни средства, използвани за подобряване на проводимостта на ХМСН);</w:t>
      </w:r>
    </w:p>
    <w:p w14:paraId="7B59F903" w14:textId="3F4471AA" w:rsidR="004B557C" w:rsidRPr="00127AD6" w:rsidRDefault="00217A4E" w:rsidP="0085075B">
      <w:pPr>
        <w:spacing w:after="0" w:line="276" w:lineRule="auto"/>
        <w:jc w:val="both"/>
        <w:rPr>
          <w:rFonts w:ascii="Times New Roman" w:hAnsi="Times New Roman"/>
          <w:sz w:val="24"/>
          <w:szCs w:val="24"/>
          <w:lang w:eastAsia="bg-BG"/>
        </w:rPr>
      </w:pPr>
      <w:r w:rsidRPr="00127AD6">
        <w:rPr>
          <w:rFonts w:ascii="Times New Roman" w:hAnsi="Times New Roman"/>
          <w:sz w:val="24"/>
          <w:szCs w:val="24"/>
          <w:lang w:eastAsia="bg-BG"/>
        </w:rPr>
        <w:t>4</w:t>
      </w:r>
      <w:r w:rsidR="004B557C" w:rsidRPr="00127AD6">
        <w:rPr>
          <w:rFonts w:ascii="Times New Roman" w:hAnsi="Times New Roman"/>
          <w:sz w:val="24"/>
          <w:szCs w:val="24"/>
          <w:lang w:eastAsia="bg-BG"/>
        </w:rPr>
        <w:t>. Свидетелство за регистрация на земеделска и горска техника (важи в случаите на инвестиции за закупуване на земеделска и/или горска техника, използвани за подобряване на проводимостта на ХМСН и когато се изисква съгласно действащата нормативна уредба);</w:t>
      </w:r>
    </w:p>
    <w:p w14:paraId="1456BA3D" w14:textId="3C1230E6" w:rsidR="00FB2868" w:rsidRPr="00127AD6" w:rsidRDefault="00217A4E" w:rsidP="0085075B">
      <w:pPr>
        <w:spacing w:after="0" w:line="276" w:lineRule="auto"/>
        <w:jc w:val="both"/>
        <w:rPr>
          <w:rFonts w:ascii="Times New Roman" w:hAnsi="Times New Roman"/>
          <w:sz w:val="24"/>
          <w:szCs w:val="24"/>
          <w:lang w:eastAsia="bg-BG"/>
        </w:rPr>
      </w:pPr>
      <w:r w:rsidRPr="00127AD6">
        <w:rPr>
          <w:rFonts w:ascii="Times New Roman" w:hAnsi="Times New Roman"/>
          <w:sz w:val="24"/>
          <w:szCs w:val="24"/>
          <w:lang w:eastAsia="bg-BG"/>
        </w:rPr>
        <w:t>5</w:t>
      </w:r>
      <w:r w:rsidR="004B557C" w:rsidRPr="00127AD6">
        <w:rPr>
          <w:rFonts w:ascii="Times New Roman" w:hAnsi="Times New Roman"/>
          <w:sz w:val="24"/>
          <w:szCs w:val="24"/>
          <w:lang w:eastAsia="bg-BG"/>
        </w:rPr>
        <w:t>.</w:t>
      </w:r>
      <w:r w:rsidR="00FB2868" w:rsidRPr="00127AD6">
        <w:rPr>
          <w:rFonts w:ascii="Times New Roman" w:hAnsi="Times New Roman"/>
          <w:sz w:val="24"/>
          <w:szCs w:val="24"/>
          <w:lang w:eastAsia="bg-BG"/>
        </w:rPr>
        <w:t xml:space="preserve"> </w:t>
      </w:r>
      <w:r w:rsidR="00FB2868" w:rsidRPr="00127AD6">
        <w:rPr>
          <w:rFonts w:ascii="Times New Roman" w:hAnsi="Times New Roman"/>
          <w:sz w:val="24"/>
          <w:szCs w:val="24"/>
        </w:rPr>
        <w:t>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осъществения проект (прилага се когато съществува изменение в обхвата на защитените зони в периода между подаване на проектното предложение и искането за плащане);</w:t>
      </w:r>
      <w:r w:rsidR="004B557C" w:rsidRPr="00127AD6">
        <w:rPr>
          <w:rFonts w:ascii="Times New Roman" w:hAnsi="Times New Roman"/>
          <w:sz w:val="24"/>
          <w:szCs w:val="24"/>
          <w:lang w:eastAsia="bg-BG"/>
        </w:rPr>
        <w:t xml:space="preserve"> </w:t>
      </w:r>
    </w:p>
    <w:p w14:paraId="68CAF953" w14:textId="2E4DE7F7" w:rsidR="004B557C" w:rsidRPr="00127AD6" w:rsidRDefault="00217A4E" w:rsidP="0085075B">
      <w:pPr>
        <w:spacing w:after="0" w:line="276" w:lineRule="auto"/>
        <w:jc w:val="both"/>
        <w:rPr>
          <w:rFonts w:ascii="Times New Roman" w:hAnsi="Times New Roman"/>
          <w:sz w:val="24"/>
          <w:szCs w:val="24"/>
          <w:lang w:eastAsia="bg-BG"/>
        </w:rPr>
      </w:pPr>
      <w:r w:rsidRPr="00127AD6">
        <w:rPr>
          <w:rFonts w:ascii="Times New Roman" w:hAnsi="Times New Roman"/>
          <w:sz w:val="24"/>
          <w:szCs w:val="24"/>
          <w:lang w:eastAsia="bg-BG"/>
        </w:rPr>
        <w:t>6</w:t>
      </w:r>
      <w:r w:rsidR="00FB2868" w:rsidRPr="00127AD6">
        <w:rPr>
          <w:rFonts w:ascii="Times New Roman" w:hAnsi="Times New Roman"/>
          <w:sz w:val="24"/>
          <w:szCs w:val="24"/>
          <w:lang w:eastAsia="bg-BG"/>
        </w:rPr>
        <w:t xml:space="preserve">. </w:t>
      </w:r>
      <w:r w:rsidR="004B557C" w:rsidRPr="00127AD6">
        <w:rPr>
          <w:rFonts w:ascii="Times New Roman" w:hAnsi="Times New Roman"/>
          <w:sz w:val="24"/>
          <w:szCs w:val="24"/>
          <w:lang w:eastAsia="bg-BG"/>
        </w:rPr>
        <w:t xml:space="preserve">Анализ, удостоверяващ изпълнението на условията по т. </w:t>
      </w:r>
      <w:r w:rsidR="00A25A74" w:rsidRPr="00127AD6">
        <w:rPr>
          <w:rFonts w:ascii="Times New Roman" w:hAnsi="Times New Roman"/>
          <w:sz w:val="24"/>
          <w:szCs w:val="24"/>
          <w:lang w:eastAsia="bg-BG"/>
        </w:rPr>
        <w:t>1</w:t>
      </w:r>
      <w:r w:rsidR="00A25A74">
        <w:rPr>
          <w:rFonts w:ascii="Times New Roman" w:hAnsi="Times New Roman"/>
          <w:sz w:val="24"/>
          <w:szCs w:val="24"/>
          <w:lang w:eastAsia="bg-BG"/>
        </w:rPr>
        <w:t>2</w:t>
      </w:r>
      <w:r w:rsidR="00A25A74" w:rsidRPr="00127AD6">
        <w:rPr>
          <w:rFonts w:ascii="Times New Roman" w:hAnsi="Times New Roman"/>
          <w:sz w:val="24"/>
          <w:szCs w:val="24"/>
          <w:lang w:eastAsia="bg-BG"/>
        </w:rPr>
        <w:t xml:space="preserve"> </w:t>
      </w:r>
      <w:r w:rsidR="004B557C" w:rsidRPr="00127AD6">
        <w:rPr>
          <w:rFonts w:ascii="Times New Roman" w:hAnsi="Times New Roman"/>
          <w:sz w:val="24"/>
          <w:szCs w:val="24"/>
          <w:lang w:eastAsia="bg-BG"/>
        </w:rPr>
        <w:t xml:space="preserve">от Раздел </w:t>
      </w:r>
      <w:r w:rsidR="00A25A74">
        <w:rPr>
          <w:rFonts w:ascii="Times New Roman" w:hAnsi="Times New Roman"/>
          <w:sz w:val="24"/>
          <w:szCs w:val="24"/>
          <w:lang w:eastAsia="bg-BG"/>
        </w:rPr>
        <w:t>9</w:t>
      </w:r>
      <w:r w:rsidR="004B557C" w:rsidRPr="00127AD6">
        <w:rPr>
          <w:rFonts w:ascii="Times New Roman" w:hAnsi="Times New Roman"/>
          <w:sz w:val="24"/>
          <w:szCs w:val="24"/>
          <w:lang w:eastAsia="bg-BG"/>
        </w:rPr>
        <w:t>.</w:t>
      </w:r>
      <w:r w:rsidR="00FF01F6" w:rsidRPr="00127AD6">
        <w:rPr>
          <w:rFonts w:ascii="Times New Roman" w:hAnsi="Times New Roman"/>
          <w:sz w:val="24"/>
          <w:szCs w:val="24"/>
          <w:lang w:eastAsia="bg-BG"/>
        </w:rPr>
        <w:t>1</w:t>
      </w:r>
      <w:r w:rsidR="004B557C" w:rsidRPr="00127AD6">
        <w:rPr>
          <w:rFonts w:ascii="Times New Roman" w:hAnsi="Times New Roman"/>
          <w:sz w:val="24"/>
          <w:szCs w:val="24"/>
          <w:lang w:eastAsia="bg-BG"/>
        </w:rPr>
        <w:t>. „Условия за допустимост на разходите</w:t>
      </w:r>
      <w:r w:rsidR="00A25A74" w:rsidRPr="00A25A74">
        <w:t xml:space="preserve"> </w:t>
      </w:r>
      <w:r w:rsidR="00A25A74" w:rsidRPr="00A25A74">
        <w:rPr>
          <w:rFonts w:ascii="Times New Roman" w:hAnsi="Times New Roman"/>
          <w:sz w:val="24"/>
          <w:szCs w:val="24"/>
          <w:lang w:eastAsia="bg-BG"/>
        </w:rPr>
        <w:t>и избрана система за оценка на обоснованост на разходите</w:t>
      </w:r>
      <w:r w:rsidR="004B557C" w:rsidRPr="00127AD6">
        <w:rPr>
          <w:rFonts w:ascii="Times New Roman" w:hAnsi="Times New Roman"/>
          <w:sz w:val="24"/>
          <w:szCs w:val="24"/>
          <w:lang w:eastAsia="bg-BG"/>
        </w:rPr>
        <w:t>“, изготвен и съгласуван от правоспособно лице с компетентност в съответната област (изисква се когато в процеса на изпълнение е налице промяна в техническите характеристики и/или други показатели в случаите на инвестиции за производство на енергия от ВЕИ);</w:t>
      </w:r>
    </w:p>
    <w:p w14:paraId="7BF62FA2" w14:textId="5AFCDFD1" w:rsidR="004B557C" w:rsidRPr="00127AD6" w:rsidRDefault="00217A4E" w:rsidP="0085075B">
      <w:pPr>
        <w:spacing w:after="0" w:line="276" w:lineRule="auto"/>
        <w:jc w:val="both"/>
        <w:rPr>
          <w:rFonts w:ascii="Times New Roman" w:hAnsi="Times New Roman"/>
          <w:sz w:val="24"/>
          <w:szCs w:val="24"/>
          <w:lang w:eastAsia="bg-BG"/>
        </w:rPr>
      </w:pPr>
      <w:r w:rsidRPr="00127AD6">
        <w:rPr>
          <w:rFonts w:ascii="Times New Roman" w:hAnsi="Times New Roman"/>
          <w:sz w:val="24"/>
          <w:szCs w:val="24"/>
          <w:lang w:eastAsia="bg-BG"/>
        </w:rPr>
        <w:t>7</w:t>
      </w:r>
      <w:r w:rsidR="004B557C" w:rsidRPr="00127AD6">
        <w:rPr>
          <w:rFonts w:ascii="Times New Roman" w:hAnsi="Times New Roman"/>
          <w:sz w:val="24"/>
          <w:szCs w:val="24"/>
          <w:lang w:eastAsia="bg-BG"/>
        </w:rPr>
        <w:t>. Становище от инженер, вписан в регистъра към Камарата на инженерите в инвестиционното проектиране, правоспособен да проектира системи за напояване, доказващо изпълнение или надвишаване на реалните показатели за коефициент на полезно действие, икономия на вода и ефективно намаление на консумацията на вода след реализацията на инвестицията за ХМСН спрямо заложените показатели в инженерния проект към датата на кандидатстване;</w:t>
      </w:r>
    </w:p>
    <w:p w14:paraId="32232A6C" w14:textId="48B8054B" w:rsidR="00E9190E" w:rsidRPr="00127AD6" w:rsidRDefault="00E9190E" w:rsidP="0085075B">
      <w:pPr>
        <w:spacing w:after="0" w:line="276" w:lineRule="auto"/>
        <w:jc w:val="both"/>
        <w:rPr>
          <w:rFonts w:ascii="Times New Roman" w:hAnsi="Times New Roman"/>
          <w:i/>
          <w:sz w:val="24"/>
          <w:szCs w:val="24"/>
          <w:lang w:val="en-US"/>
        </w:rPr>
      </w:pPr>
      <w:r w:rsidRPr="00127AD6">
        <w:rPr>
          <w:rFonts w:ascii="Times New Roman" w:hAnsi="Times New Roman"/>
          <w:sz w:val="24"/>
          <w:szCs w:val="24"/>
          <w:lang w:val="en-US" w:eastAsia="bg-BG"/>
        </w:rPr>
        <w:t xml:space="preserve">8. </w:t>
      </w:r>
      <w:r w:rsidRPr="00127AD6">
        <w:rPr>
          <w:rFonts w:ascii="Times New Roman" w:eastAsia="Times New Roman" w:hAnsi="Times New Roman"/>
          <w:sz w:val="24"/>
          <w:szCs w:val="24"/>
        </w:rPr>
        <w:t xml:space="preserve">Ежегодно разработена методика за определяне на цената на услугата „Доставяне на вода за напояване“, в съответствие с приетата с Постановление на Министерски съвет № 147 от 19 юли 2018 г. Методика за определяне цената на услугата „Доставяне на вода за напояване“, съгласно чл. 58 от Закона за сдружения за напояване, както по време на изпълнение на проектното предложение, така и в периода на мониторинг. </w:t>
      </w:r>
      <w:r w:rsidRPr="00127AD6">
        <w:rPr>
          <w:rFonts w:ascii="Times New Roman" w:hAnsi="Times New Roman"/>
          <w:i/>
          <w:sz w:val="24"/>
          <w:szCs w:val="24"/>
        </w:rPr>
        <w:t>(Отнася се само за юридически лица, учредени и регистрирани по реда на Търговския закон (ТЗ) или Закона за кооперациите (ЗК))</w:t>
      </w:r>
      <w:r w:rsidRPr="00127AD6">
        <w:rPr>
          <w:rFonts w:ascii="Times New Roman" w:hAnsi="Times New Roman"/>
          <w:i/>
          <w:sz w:val="24"/>
          <w:szCs w:val="24"/>
          <w:lang w:val="en-US"/>
        </w:rPr>
        <w:t>;</w:t>
      </w:r>
    </w:p>
    <w:p w14:paraId="56AFEC5B" w14:textId="7DC8C365" w:rsidR="00747CCC" w:rsidRPr="00127AD6" w:rsidRDefault="00747CCC" w:rsidP="0085075B">
      <w:pPr>
        <w:spacing w:after="0" w:line="276" w:lineRule="auto"/>
        <w:jc w:val="both"/>
        <w:rPr>
          <w:rFonts w:ascii="Times New Roman" w:hAnsi="Times New Roman"/>
          <w:sz w:val="24"/>
          <w:szCs w:val="24"/>
          <w:lang w:val="en-US" w:eastAsia="bg-BG"/>
        </w:rPr>
      </w:pPr>
      <w:r w:rsidRPr="00127AD6">
        <w:rPr>
          <w:rFonts w:ascii="Times New Roman" w:hAnsi="Times New Roman"/>
          <w:sz w:val="24"/>
          <w:szCs w:val="24"/>
          <w:lang w:val="en-US"/>
        </w:rPr>
        <w:t xml:space="preserve">9. </w:t>
      </w:r>
      <w:r w:rsidRPr="00127AD6">
        <w:rPr>
          <w:rFonts w:ascii="Times New Roman" w:hAnsi="Times New Roman"/>
          <w:sz w:val="24"/>
          <w:szCs w:val="24"/>
        </w:rPr>
        <w:t xml:space="preserve">Списък с данни от договори с водоползватели спрямо датата на подаване на искането за окончателно плащане (Приложение № </w:t>
      </w:r>
      <w:r w:rsidR="00A25A74">
        <w:rPr>
          <w:rFonts w:ascii="Times New Roman" w:hAnsi="Times New Roman"/>
          <w:sz w:val="24"/>
          <w:szCs w:val="24"/>
        </w:rPr>
        <w:t>8</w:t>
      </w:r>
      <w:r w:rsidRPr="00127AD6">
        <w:rPr>
          <w:rFonts w:ascii="Times New Roman" w:hAnsi="Times New Roman"/>
          <w:sz w:val="24"/>
          <w:szCs w:val="24"/>
        </w:rPr>
        <w:t>)</w:t>
      </w:r>
      <w:r w:rsidRPr="00127AD6">
        <w:rPr>
          <w:rFonts w:ascii="Times New Roman" w:hAnsi="Times New Roman"/>
          <w:sz w:val="24"/>
          <w:szCs w:val="24"/>
          <w:lang w:val="en-US"/>
        </w:rPr>
        <w:t>;</w:t>
      </w:r>
    </w:p>
    <w:p w14:paraId="196FAC31" w14:textId="7BA421E6" w:rsidR="004B557C" w:rsidRPr="00127AD6" w:rsidRDefault="00747CCC" w:rsidP="0085075B">
      <w:pPr>
        <w:spacing w:after="0" w:line="276" w:lineRule="auto"/>
        <w:jc w:val="both"/>
        <w:rPr>
          <w:rFonts w:ascii="Times New Roman" w:hAnsi="Times New Roman"/>
          <w:sz w:val="24"/>
          <w:szCs w:val="24"/>
          <w:lang w:eastAsia="bg-BG"/>
        </w:rPr>
      </w:pPr>
      <w:r w:rsidRPr="00127AD6">
        <w:rPr>
          <w:rFonts w:ascii="Times New Roman" w:hAnsi="Times New Roman"/>
          <w:sz w:val="24"/>
          <w:szCs w:val="24"/>
          <w:lang w:val="en-US" w:eastAsia="bg-BG"/>
        </w:rPr>
        <w:t>10</w:t>
      </w:r>
      <w:r w:rsidR="004B557C" w:rsidRPr="00127AD6">
        <w:rPr>
          <w:rFonts w:ascii="Times New Roman" w:hAnsi="Times New Roman"/>
          <w:sz w:val="24"/>
          <w:szCs w:val="24"/>
          <w:lang w:eastAsia="bg-BG"/>
        </w:rPr>
        <w:t xml:space="preserve">. Графичен файл с обхвата на напоителното/ите поле/та. Данните трябва да бъдат структурирани в ESRI Shapefile - формат. (Специфичен файлов формат за съхранение на векторни пространствени данни, структуриран в няколко файла. Задължителните за формата файлове са: shp - съдържа геометрията на обектите, dbf - привързаният dBASE файл (база данни) с атрибутна информация и shx - индекс към геометрията на обектите). Цифровите географски данни включени в него да бъдат представени в координатна система World Geodetic System (WGS84), при използване на картографска проекция Universal Transverse Mercator (UTM), зона 35 Север </w:t>
      </w:r>
      <w:r w:rsidR="00A94CEB" w:rsidRPr="00127AD6">
        <w:rPr>
          <w:rFonts w:ascii="Times New Roman" w:hAnsi="Times New Roman"/>
          <w:sz w:val="24"/>
          <w:szCs w:val="24"/>
          <w:lang w:eastAsia="bg-BG"/>
        </w:rPr>
        <w:t>(</w:t>
      </w:r>
      <w:r w:rsidR="004B557C" w:rsidRPr="00127AD6">
        <w:rPr>
          <w:rFonts w:ascii="Times New Roman" w:hAnsi="Times New Roman"/>
          <w:sz w:val="24"/>
          <w:szCs w:val="24"/>
          <w:lang w:eastAsia="bg-BG"/>
        </w:rPr>
        <w:t>представя се при кандидатстване за окончателно плащане</w:t>
      </w:r>
      <w:r w:rsidR="00A94CEB" w:rsidRPr="00127AD6">
        <w:rPr>
          <w:rFonts w:ascii="Times New Roman" w:hAnsi="Times New Roman"/>
          <w:sz w:val="24"/>
          <w:szCs w:val="24"/>
          <w:lang w:eastAsia="bg-BG"/>
        </w:rPr>
        <w:t>)</w:t>
      </w:r>
      <w:r w:rsidR="004B557C" w:rsidRPr="00127AD6">
        <w:rPr>
          <w:rFonts w:ascii="Times New Roman" w:hAnsi="Times New Roman"/>
          <w:sz w:val="24"/>
          <w:szCs w:val="24"/>
          <w:lang w:eastAsia="bg-BG"/>
        </w:rPr>
        <w:t>.</w:t>
      </w:r>
    </w:p>
    <w:p w14:paraId="6AA1F872" w14:textId="77777777" w:rsidR="007B2ABC" w:rsidRPr="00127AD6" w:rsidRDefault="007B2ABC" w:rsidP="0085075B">
      <w:pPr>
        <w:spacing w:after="0" w:line="276" w:lineRule="auto"/>
        <w:jc w:val="both"/>
        <w:rPr>
          <w:rFonts w:ascii="Times New Roman" w:hAnsi="Times New Roman"/>
          <w:sz w:val="24"/>
          <w:szCs w:val="24"/>
        </w:rPr>
      </w:pPr>
    </w:p>
    <w:p w14:paraId="0E9A6D0D" w14:textId="5108CA2B" w:rsidR="00B12370" w:rsidRPr="00127AD6" w:rsidRDefault="00451C27" w:rsidP="003F1FD8">
      <w:pPr>
        <w:spacing w:after="0" w:line="276" w:lineRule="auto"/>
        <w:jc w:val="both"/>
        <w:rPr>
          <w:rFonts w:ascii="Times New Roman" w:hAnsi="Times New Roman"/>
          <w:b/>
          <w:bCs/>
          <w:sz w:val="24"/>
          <w:szCs w:val="24"/>
        </w:rPr>
      </w:pPr>
      <w:r w:rsidRPr="00127AD6">
        <w:rPr>
          <w:rFonts w:ascii="Times New Roman" w:hAnsi="Times New Roman"/>
          <w:b/>
          <w:sz w:val="24"/>
          <w:szCs w:val="24"/>
        </w:rPr>
        <w:t>В</w:t>
      </w:r>
      <w:r w:rsidR="00B22D61" w:rsidRPr="00127AD6">
        <w:rPr>
          <w:rFonts w:ascii="Times New Roman" w:hAnsi="Times New Roman"/>
          <w:b/>
          <w:sz w:val="24"/>
          <w:szCs w:val="24"/>
        </w:rPr>
        <w:t xml:space="preserve">. </w:t>
      </w:r>
      <w:r w:rsidR="00B12370" w:rsidRPr="00127AD6">
        <w:rPr>
          <w:rFonts w:ascii="Times New Roman" w:hAnsi="Times New Roman"/>
          <w:b/>
          <w:bCs/>
          <w:sz w:val="24"/>
          <w:szCs w:val="24"/>
        </w:rPr>
        <w:t>Документи, удостоверяващи спазването на критериите за подбор, по които проектът е бил оценен:</w:t>
      </w:r>
    </w:p>
    <w:p w14:paraId="6A3348A5" w14:textId="77777777" w:rsidR="00B12370" w:rsidRPr="00127AD6" w:rsidRDefault="00B12370" w:rsidP="0085075B">
      <w:pPr>
        <w:spacing w:after="0" w:line="276" w:lineRule="auto"/>
        <w:jc w:val="both"/>
        <w:rPr>
          <w:rFonts w:ascii="Times New Roman" w:hAnsi="Times New Roman"/>
          <w:sz w:val="24"/>
          <w:szCs w:val="24"/>
          <w:lang w:eastAsia="bg-BG"/>
        </w:rPr>
      </w:pPr>
      <w:r w:rsidRPr="00127AD6">
        <w:rPr>
          <w:rFonts w:ascii="Times New Roman" w:hAnsi="Times New Roman"/>
          <w:sz w:val="24"/>
          <w:szCs w:val="24"/>
          <w:lang w:eastAsia="bg-BG"/>
        </w:rPr>
        <w:t>1. Становище от инженер, вписан в регистъра към Камарата на инженерите в инвестиционното проектиране, правоспособен да проектира системи за напояване, доказващо:</w:t>
      </w:r>
    </w:p>
    <w:p w14:paraId="4C76C4EC" w14:textId="513B80A0" w:rsidR="00B12370" w:rsidRPr="00127AD6" w:rsidRDefault="00B12370" w:rsidP="0085075B">
      <w:pPr>
        <w:spacing w:after="0" w:line="276" w:lineRule="auto"/>
        <w:jc w:val="both"/>
        <w:rPr>
          <w:rFonts w:ascii="Times New Roman" w:hAnsi="Times New Roman"/>
          <w:sz w:val="24"/>
          <w:szCs w:val="24"/>
          <w:lang w:eastAsia="bg-BG"/>
        </w:rPr>
      </w:pPr>
      <w:r w:rsidRPr="00127AD6">
        <w:rPr>
          <w:rFonts w:ascii="Times New Roman" w:hAnsi="Times New Roman"/>
          <w:sz w:val="24"/>
          <w:szCs w:val="24"/>
          <w:lang w:eastAsia="bg-BG"/>
        </w:rPr>
        <w:t xml:space="preserve">1.1. изпълнение или надвишаване на реалният показател за икономия на вода след реализацията на инвестицията за ХМСН спрямо заложения показател в инженерния проект, когато проектното предложение на бенефициента е било оценено по критерий за подбор № 1.1 </w:t>
      </w:r>
      <w:r w:rsidRPr="00127AD6">
        <w:rPr>
          <w:rFonts w:ascii="Times New Roman" w:hAnsi="Times New Roman"/>
          <w:sz w:val="24"/>
          <w:szCs w:val="24"/>
          <w:lang w:eastAsia="bg-BG"/>
        </w:rPr>
        <w:lastRenderedPageBreak/>
        <w:t>„С инвестициите, включени в заявлението за подпомагане, се осигурява най-малко 30 % потенциална икономия на вода, съгласно настоящите технически параметри на съответния елемент на напоителната инфраструктура“ от Раздел 1</w:t>
      </w:r>
      <w:r w:rsidR="00A25A74">
        <w:rPr>
          <w:rFonts w:ascii="Times New Roman" w:hAnsi="Times New Roman"/>
          <w:sz w:val="24"/>
          <w:szCs w:val="24"/>
          <w:lang w:eastAsia="bg-BG"/>
        </w:rPr>
        <w:t>0</w:t>
      </w:r>
      <w:r w:rsidRPr="00127AD6">
        <w:rPr>
          <w:rFonts w:ascii="Times New Roman" w:hAnsi="Times New Roman"/>
          <w:sz w:val="24"/>
          <w:szCs w:val="24"/>
          <w:lang w:eastAsia="bg-BG"/>
        </w:rPr>
        <w:t xml:space="preserve"> „Критерии за подбор и предварителна оценка” от Условията за кандидатстване</w:t>
      </w:r>
    </w:p>
    <w:p w14:paraId="511C8058" w14:textId="72C264BF" w:rsidR="00143F0F" w:rsidRPr="00127AD6" w:rsidRDefault="00B12370" w:rsidP="0085075B">
      <w:pPr>
        <w:spacing w:after="0" w:line="276" w:lineRule="auto"/>
        <w:jc w:val="both"/>
        <w:rPr>
          <w:rFonts w:ascii="Times New Roman" w:hAnsi="Times New Roman"/>
          <w:sz w:val="24"/>
          <w:szCs w:val="24"/>
          <w:lang w:val="en-US" w:eastAsia="bg-BG"/>
        </w:rPr>
      </w:pPr>
      <w:r w:rsidRPr="00127AD6">
        <w:rPr>
          <w:rFonts w:ascii="Times New Roman" w:hAnsi="Times New Roman"/>
          <w:sz w:val="24"/>
          <w:szCs w:val="24"/>
          <w:lang w:eastAsia="bg-BG"/>
        </w:rPr>
        <w:t>1.2. изпълнение или надвишаване на реалният показател за увеличаване на площите с осигурена възможност за напояване, в границите на напоителното поле след реализацията на инвестицията за ХМСН спрямо заложения показател в инженерния проект, когато проектното предложение на бенефициента е било оценено по критерий за подбор № 2.2 „Инвестициите в хидромелиоративна инфраструктура по заявлението за подпомагане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на заявлението за подпомагане“ от Раздел 1</w:t>
      </w:r>
      <w:r w:rsidR="00A25A74">
        <w:rPr>
          <w:rFonts w:ascii="Times New Roman" w:hAnsi="Times New Roman"/>
          <w:sz w:val="24"/>
          <w:szCs w:val="24"/>
          <w:lang w:eastAsia="bg-BG"/>
        </w:rPr>
        <w:t>0</w:t>
      </w:r>
      <w:r w:rsidRPr="00127AD6">
        <w:rPr>
          <w:rFonts w:ascii="Times New Roman" w:hAnsi="Times New Roman"/>
          <w:sz w:val="24"/>
          <w:szCs w:val="24"/>
          <w:lang w:eastAsia="bg-BG"/>
        </w:rPr>
        <w:t xml:space="preserve"> „Критерии за подбор и предварителна оценка” от Условията за кандидатстване.</w:t>
      </w:r>
    </w:p>
    <w:sectPr w:rsidR="00143F0F" w:rsidRPr="00127AD6" w:rsidSect="0085075B">
      <w:footerReference w:type="default" r:id="rId22"/>
      <w:headerReference w:type="first" r:id="rId23"/>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4890" w14:textId="77777777" w:rsidR="00527B74" w:rsidRDefault="00527B74" w:rsidP="001D059F">
      <w:pPr>
        <w:spacing w:after="0" w:line="240" w:lineRule="auto"/>
      </w:pPr>
      <w:r>
        <w:separator/>
      </w:r>
    </w:p>
  </w:endnote>
  <w:endnote w:type="continuationSeparator" w:id="0">
    <w:p w14:paraId="4E174B21" w14:textId="77777777" w:rsidR="00527B74" w:rsidRDefault="00527B74" w:rsidP="001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16"/>
        <w:szCs w:val="16"/>
      </w:rPr>
      <w:id w:val="-1512218003"/>
      <w:docPartObj>
        <w:docPartGallery w:val="Page Numbers (Bottom of Page)"/>
        <w:docPartUnique/>
      </w:docPartObj>
    </w:sdtPr>
    <w:sdtEndPr>
      <w:rPr>
        <w:i/>
      </w:rPr>
    </w:sdtEndPr>
    <w:sdtContent>
      <w:sdt>
        <w:sdtPr>
          <w:rPr>
            <w:rFonts w:ascii="Times New Roman" w:hAnsi="Times New Roman"/>
            <w:sz w:val="16"/>
            <w:szCs w:val="16"/>
          </w:rPr>
          <w:id w:val="-1769616900"/>
          <w:docPartObj>
            <w:docPartGallery w:val="Page Numbers (Top of Page)"/>
            <w:docPartUnique/>
          </w:docPartObj>
        </w:sdtPr>
        <w:sdtEndPr>
          <w:rPr>
            <w:i/>
          </w:rPr>
        </w:sdtEndPr>
        <w:sdtContent>
          <w:p w14:paraId="6FA3CBAA" w14:textId="77777777" w:rsidR="00867155" w:rsidRDefault="00867155" w:rsidP="00867155">
            <w:pPr>
              <w:pStyle w:val="Footer"/>
              <w:tabs>
                <w:tab w:val="clear" w:pos="4536"/>
                <w:tab w:val="clear" w:pos="9072"/>
                <w:tab w:val="right" w:pos="9354"/>
              </w:tabs>
              <w:jc w:val="both"/>
              <w:rPr>
                <w:rFonts w:ascii="Times New Roman" w:hAnsi="Times New Roman"/>
                <w:sz w:val="16"/>
                <w:szCs w:val="16"/>
              </w:rPr>
            </w:pPr>
          </w:p>
          <w:p w14:paraId="6ED5CFE0" w14:textId="7D03E913" w:rsidR="00867155" w:rsidRPr="00867155" w:rsidRDefault="00867155" w:rsidP="00867155">
            <w:pPr>
              <w:pStyle w:val="Footer"/>
              <w:tabs>
                <w:tab w:val="clear" w:pos="4536"/>
                <w:tab w:val="clear" w:pos="9072"/>
                <w:tab w:val="right" w:pos="9354"/>
              </w:tabs>
              <w:jc w:val="both"/>
              <w:rPr>
                <w:rFonts w:ascii="Times New Roman" w:hAnsi="Times New Roman"/>
                <w:i/>
                <w:sz w:val="16"/>
                <w:szCs w:val="16"/>
              </w:rPr>
            </w:pPr>
            <w:r w:rsidRPr="00867155">
              <w:rPr>
                <w:rFonts w:ascii="Times New Roman" w:hAnsi="Times New Roman"/>
                <w:i/>
                <w:sz w:val="16"/>
                <w:szCs w:val="16"/>
              </w:rPr>
              <w:t>Приложение1 / УИ</w:t>
            </w:r>
            <w:r w:rsidRPr="00867155">
              <w:rPr>
                <w:rFonts w:ascii="Times New Roman" w:hAnsi="Times New Roman"/>
                <w:i/>
                <w:sz w:val="16"/>
                <w:szCs w:val="16"/>
              </w:rPr>
              <w:tab/>
            </w:r>
            <w:r w:rsidRPr="00867155">
              <w:rPr>
                <w:rFonts w:ascii="Times New Roman" w:hAnsi="Times New Roman"/>
                <w:i/>
                <w:sz w:val="16"/>
                <w:szCs w:val="16"/>
              </w:rPr>
              <w:fldChar w:fldCharType="begin"/>
            </w:r>
            <w:r w:rsidRPr="00867155">
              <w:rPr>
                <w:rFonts w:ascii="Times New Roman" w:hAnsi="Times New Roman"/>
                <w:i/>
                <w:sz w:val="16"/>
                <w:szCs w:val="16"/>
              </w:rPr>
              <w:instrText xml:space="preserve"> PAGE </w:instrText>
            </w:r>
            <w:r w:rsidRPr="00867155">
              <w:rPr>
                <w:rFonts w:ascii="Times New Roman" w:hAnsi="Times New Roman"/>
                <w:i/>
                <w:sz w:val="16"/>
                <w:szCs w:val="16"/>
              </w:rPr>
              <w:fldChar w:fldCharType="separate"/>
            </w:r>
            <w:r w:rsidR="00BB3293">
              <w:rPr>
                <w:rFonts w:ascii="Times New Roman" w:hAnsi="Times New Roman"/>
                <w:i/>
                <w:noProof/>
                <w:sz w:val="16"/>
                <w:szCs w:val="16"/>
              </w:rPr>
              <w:t>2</w:t>
            </w:r>
            <w:r w:rsidRPr="00867155">
              <w:rPr>
                <w:rFonts w:ascii="Times New Roman" w:hAnsi="Times New Roman"/>
                <w:i/>
                <w:sz w:val="16"/>
                <w:szCs w:val="16"/>
              </w:rPr>
              <w:fldChar w:fldCharType="end"/>
            </w:r>
            <w:r w:rsidRPr="00867155">
              <w:rPr>
                <w:rFonts w:ascii="Times New Roman" w:hAnsi="Times New Roman"/>
                <w:i/>
                <w:sz w:val="16"/>
                <w:szCs w:val="16"/>
              </w:rPr>
              <w:t xml:space="preserve"> of </w:t>
            </w:r>
            <w:r w:rsidRPr="00867155">
              <w:rPr>
                <w:rFonts w:ascii="Times New Roman" w:hAnsi="Times New Roman"/>
                <w:i/>
                <w:sz w:val="16"/>
                <w:szCs w:val="16"/>
              </w:rPr>
              <w:fldChar w:fldCharType="begin"/>
            </w:r>
            <w:r w:rsidRPr="00867155">
              <w:rPr>
                <w:rFonts w:ascii="Times New Roman" w:hAnsi="Times New Roman"/>
                <w:i/>
                <w:sz w:val="16"/>
                <w:szCs w:val="16"/>
              </w:rPr>
              <w:instrText xml:space="preserve"> NUMPAGES  </w:instrText>
            </w:r>
            <w:r w:rsidRPr="00867155">
              <w:rPr>
                <w:rFonts w:ascii="Times New Roman" w:hAnsi="Times New Roman"/>
                <w:i/>
                <w:sz w:val="16"/>
                <w:szCs w:val="16"/>
              </w:rPr>
              <w:fldChar w:fldCharType="separate"/>
            </w:r>
            <w:r w:rsidR="00BB3293">
              <w:rPr>
                <w:rFonts w:ascii="Times New Roman" w:hAnsi="Times New Roman"/>
                <w:i/>
                <w:noProof/>
                <w:sz w:val="16"/>
                <w:szCs w:val="16"/>
              </w:rPr>
              <w:t>5</w:t>
            </w:r>
            <w:r w:rsidRPr="00867155">
              <w:rPr>
                <w:rFonts w:ascii="Times New Roman" w:hAnsi="Times New Roman"/>
                <w:i/>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EE357" w14:textId="77777777" w:rsidR="00527B74" w:rsidRDefault="00527B74" w:rsidP="001D059F">
      <w:pPr>
        <w:spacing w:after="0" w:line="240" w:lineRule="auto"/>
      </w:pPr>
      <w:r>
        <w:separator/>
      </w:r>
    </w:p>
  </w:footnote>
  <w:footnote w:type="continuationSeparator" w:id="0">
    <w:p w14:paraId="447D494F" w14:textId="77777777" w:rsidR="00527B74" w:rsidRDefault="00527B74" w:rsidP="001D05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5CCB4" w14:textId="77777777" w:rsidR="0085075B" w:rsidRPr="0028612D" w:rsidRDefault="0085075B" w:rsidP="0085075B">
    <w:pPr>
      <w:pStyle w:val="Header"/>
      <w:tabs>
        <w:tab w:val="clear" w:pos="4536"/>
        <w:tab w:val="clear" w:pos="9072"/>
      </w:tabs>
    </w:pPr>
    <w:r w:rsidRPr="00FC63B6">
      <w:rPr>
        <w:rFonts w:cstheme="minorHAnsi"/>
        <w:noProof/>
        <w:sz w:val="24"/>
        <w:szCs w:val="24"/>
        <w:lang w:eastAsia="bg-BG"/>
      </w:rPr>
      <w:drawing>
        <wp:inline distT="0" distB="0" distL="0" distR="0" wp14:anchorId="186B0B08" wp14:editId="5D92EC46">
          <wp:extent cx="6120130" cy="697557"/>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
                    <a:extLst>
                      <a:ext uri="{28A0092B-C50C-407E-A947-70E740481C1C}">
                        <a14:useLocalDpi xmlns:a14="http://schemas.microsoft.com/office/drawing/2010/main" val="0"/>
                      </a:ext>
                    </a:extLst>
                  </a:blip>
                  <a:stretch>
                    <a:fillRect/>
                  </a:stretch>
                </pic:blipFill>
                <pic:spPr>
                  <a:xfrm>
                    <a:off x="0" y="0"/>
                    <a:ext cx="6120130" cy="697557"/>
                  </a:xfrm>
                  <a:prstGeom prst="rect">
                    <a:avLst/>
                  </a:prstGeom>
                </pic:spPr>
              </pic:pic>
            </a:graphicData>
          </a:graphic>
        </wp:inline>
      </w:drawing>
    </w:r>
  </w:p>
  <w:p w14:paraId="1149AC3A" w14:textId="77777777" w:rsidR="0085075B" w:rsidRDefault="008507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5CD"/>
    <w:multiLevelType w:val="hybridMultilevel"/>
    <w:tmpl w:val="256E5420"/>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8FC6F9B"/>
    <w:multiLevelType w:val="hybridMultilevel"/>
    <w:tmpl w:val="9B3AA7B4"/>
    <w:lvl w:ilvl="0" w:tplc="121E8D2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 w15:restartNumberingAfterBreak="0">
    <w:nsid w:val="1B583300"/>
    <w:multiLevelType w:val="hybridMultilevel"/>
    <w:tmpl w:val="8B280BC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40901522"/>
    <w:multiLevelType w:val="hybridMultilevel"/>
    <w:tmpl w:val="F7C601B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53D7208E"/>
    <w:multiLevelType w:val="hybridMultilevel"/>
    <w:tmpl w:val="1A64BF76"/>
    <w:lvl w:ilvl="0" w:tplc="9E1C013E">
      <w:start w:val="1"/>
      <w:numFmt w:val="decimal"/>
      <w:lvlText w:val="%1."/>
      <w:lvlJc w:val="left"/>
      <w:pPr>
        <w:ind w:left="840" w:hanging="360"/>
      </w:pPr>
      <w:rPr>
        <w:rFonts w:cs="Times New Roman" w:hint="default"/>
      </w:rPr>
    </w:lvl>
    <w:lvl w:ilvl="1" w:tplc="04020019" w:tentative="1">
      <w:start w:val="1"/>
      <w:numFmt w:val="lowerLetter"/>
      <w:lvlText w:val="%2."/>
      <w:lvlJc w:val="left"/>
      <w:pPr>
        <w:ind w:left="1560" w:hanging="360"/>
      </w:pPr>
      <w:rPr>
        <w:rFonts w:cs="Times New Roman"/>
      </w:rPr>
    </w:lvl>
    <w:lvl w:ilvl="2" w:tplc="0402001B" w:tentative="1">
      <w:start w:val="1"/>
      <w:numFmt w:val="lowerRoman"/>
      <w:lvlText w:val="%3."/>
      <w:lvlJc w:val="right"/>
      <w:pPr>
        <w:ind w:left="2280" w:hanging="180"/>
      </w:pPr>
      <w:rPr>
        <w:rFonts w:cs="Times New Roman"/>
      </w:rPr>
    </w:lvl>
    <w:lvl w:ilvl="3" w:tplc="0402000F" w:tentative="1">
      <w:start w:val="1"/>
      <w:numFmt w:val="decimal"/>
      <w:lvlText w:val="%4."/>
      <w:lvlJc w:val="left"/>
      <w:pPr>
        <w:ind w:left="3000" w:hanging="360"/>
      </w:pPr>
      <w:rPr>
        <w:rFonts w:cs="Times New Roman"/>
      </w:rPr>
    </w:lvl>
    <w:lvl w:ilvl="4" w:tplc="04020019" w:tentative="1">
      <w:start w:val="1"/>
      <w:numFmt w:val="lowerLetter"/>
      <w:lvlText w:val="%5."/>
      <w:lvlJc w:val="left"/>
      <w:pPr>
        <w:ind w:left="3720" w:hanging="360"/>
      </w:pPr>
      <w:rPr>
        <w:rFonts w:cs="Times New Roman"/>
      </w:rPr>
    </w:lvl>
    <w:lvl w:ilvl="5" w:tplc="0402001B" w:tentative="1">
      <w:start w:val="1"/>
      <w:numFmt w:val="lowerRoman"/>
      <w:lvlText w:val="%6."/>
      <w:lvlJc w:val="right"/>
      <w:pPr>
        <w:ind w:left="4440" w:hanging="180"/>
      </w:pPr>
      <w:rPr>
        <w:rFonts w:cs="Times New Roman"/>
      </w:rPr>
    </w:lvl>
    <w:lvl w:ilvl="6" w:tplc="0402000F" w:tentative="1">
      <w:start w:val="1"/>
      <w:numFmt w:val="decimal"/>
      <w:lvlText w:val="%7."/>
      <w:lvlJc w:val="left"/>
      <w:pPr>
        <w:ind w:left="5160" w:hanging="360"/>
      </w:pPr>
      <w:rPr>
        <w:rFonts w:cs="Times New Roman"/>
      </w:rPr>
    </w:lvl>
    <w:lvl w:ilvl="7" w:tplc="04020019" w:tentative="1">
      <w:start w:val="1"/>
      <w:numFmt w:val="lowerLetter"/>
      <w:lvlText w:val="%8."/>
      <w:lvlJc w:val="left"/>
      <w:pPr>
        <w:ind w:left="5880" w:hanging="360"/>
      </w:pPr>
      <w:rPr>
        <w:rFonts w:cs="Times New Roman"/>
      </w:rPr>
    </w:lvl>
    <w:lvl w:ilvl="8" w:tplc="0402001B" w:tentative="1">
      <w:start w:val="1"/>
      <w:numFmt w:val="lowerRoman"/>
      <w:lvlText w:val="%9."/>
      <w:lvlJc w:val="right"/>
      <w:pPr>
        <w:ind w:left="6600" w:hanging="180"/>
      </w:pPr>
      <w:rPr>
        <w:rFonts w:cs="Times New Roman"/>
      </w:rPr>
    </w:lvl>
  </w:abstractNum>
  <w:abstractNum w:abstractNumId="5" w15:restartNumberingAfterBreak="0">
    <w:nsid w:val="5E390915"/>
    <w:multiLevelType w:val="hybridMultilevel"/>
    <w:tmpl w:val="7E2850B2"/>
    <w:lvl w:ilvl="0" w:tplc="53D23486">
      <w:start w:val="1"/>
      <w:numFmt w:val="decimal"/>
      <w:lvlText w:val="%1."/>
      <w:lvlJc w:val="left"/>
      <w:pPr>
        <w:ind w:left="720" w:hanging="360"/>
      </w:pPr>
      <w:rPr>
        <w:i w:val="0"/>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70B0541B"/>
    <w:multiLevelType w:val="hybridMultilevel"/>
    <w:tmpl w:val="9C6ECB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171"/>
    <w:rsid w:val="000057A2"/>
    <w:rsid w:val="00006521"/>
    <w:rsid w:val="00051AB4"/>
    <w:rsid w:val="00053321"/>
    <w:rsid w:val="00061491"/>
    <w:rsid w:val="00076AF5"/>
    <w:rsid w:val="000779B7"/>
    <w:rsid w:val="00091C22"/>
    <w:rsid w:val="000A6E5B"/>
    <w:rsid w:val="000D5AC5"/>
    <w:rsid w:val="000E65C2"/>
    <w:rsid w:val="000F1F48"/>
    <w:rsid w:val="0010048E"/>
    <w:rsid w:val="00115CF7"/>
    <w:rsid w:val="00127AD6"/>
    <w:rsid w:val="00136C09"/>
    <w:rsid w:val="00136DF9"/>
    <w:rsid w:val="00143F0F"/>
    <w:rsid w:val="00157F69"/>
    <w:rsid w:val="00160342"/>
    <w:rsid w:val="00164157"/>
    <w:rsid w:val="001722C1"/>
    <w:rsid w:val="00174B92"/>
    <w:rsid w:val="00181542"/>
    <w:rsid w:val="001C7877"/>
    <w:rsid w:val="001D059F"/>
    <w:rsid w:val="001F71A7"/>
    <w:rsid w:val="00200FE9"/>
    <w:rsid w:val="00201DC8"/>
    <w:rsid w:val="00217A4E"/>
    <w:rsid w:val="0022101D"/>
    <w:rsid w:val="002512B7"/>
    <w:rsid w:val="002602D8"/>
    <w:rsid w:val="002977B4"/>
    <w:rsid w:val="002A63AF"/>
    <w:rsid w:val="002C75E1"/>
    <w:rsid w:val="002F70DE"/>
    <w:rsid w:val="00306E0C"/>
    <w:rsid w:val="00307D99"/>
    <w:rsid w:val="00317BE1"/>
    <w:rsid w:val="00330BAF"/>
    <w:rsid w:val="00334372"/>
    <w:rsid w:val="00334FD4"/>
    <w:rsid w:val="00361433"/>
    <w:rsid w:val="00362151"/>
    <w:rsid w:val="00365375"/>
    <w:rsid w:val="0038189D"/>
    <w:rsid w:val="00386F01"/>
    <w:rsid w:val="003A44B0"/>
    <w:rsid w:val="003A776A"/>
    <w:rsid w:val="003C18ED"/>
    <w:rsid w:val="003C66C7"/>
    <w:rsid w:val="003F1FD8"/>
    <w:rsid w:val="00417E77"/>
    <w:rsid w:val="004328A7"/>
    <w:rsid w:val="00436873"/>
    <w:rsid w:val="00451C27"/>
    <w:rsid w:val="004645A2"/>
    <w:rsid w:val="0047494C"/>
    <w:rsid w:val="00497464"/>
    <w:rsid w:val="004A4DCB"/>
    <w:rsid w:val="004B557C"/>
    <w:rsid w:val="004B63AB"/>
    <w:rsid w:val="004C7649"/>
    <w:rsid w:val="004D2F8F"/>
    <w:rsid w:val="004E5025"/>
    <w:rsid w:val="004F634F"/>
    <w:rsid w:val="00504C4F"/>
    <w:rsid w:val="005072A2"/>
    <w:rsid w:val="00527B74"/>
    <w:rsid w:val="00534FD1"/>
    <w:rsid w:val="00544E8C"/>
    <w:rsid w:val="005846A9"/>
    <w:rsid w:val="005B0C93"/>
    <w:rsid w:val="00600AA9"/>
    <w:rsid w:val="00633446"/>
    <w:rsid w:val="00647177"/>
    <w:rsid w:val="00650246"/>
    <w:rsid w:val="006638A9"/>
    <w:rsid w:val="006650EC"/>
    <w:rsid w:val="00671D7C"/>
    <w:rsid w:val="00676225"/>
    <w:rsid w:val="00680CE3"/>
    <w:rsid w:val="006913AB"/>
    <w:rsid w:val="006958B0"/>
    <w:rsid w:val="006B6267"/>
    <w:rsid w:val="006D0ABA"/>
    <w:rsid w:val="006D62BD"/>
    <w:rsid w:val="006E2A60"/>
    <w:rsid w:val="006F399A"/>
    <w:rsid w:val="006F62D0"/>
    <w:rsid w:val="00702ACF"/>
    <w:rsid w:val="00712DEF"/>
    <w:rsid w:val="0073410D"/>
    <w:rsid w:val="00747CCC"/>
    <w:rsid w:val="00747E55"/>
    <w:rsid w:val="0075032A"/>
    <w:rsid w:val="0076340B"/>
    <w:rsid w:val="00796281"/>
    <w:rsid w:val="007A7119"/>
    <w:rsid w:val="007B2ABC"/>
    <w:rsid w:val="007C3EE6"/>
    <w:rsid w:val="007D0472"/>
    <w:rsid w:val="007D7E5B"/>
    <w:rsid w:val="00811551"/>
    <w:rsid w:val="0081484D"/>
    <w:rsid w:val="00820557"/>
    <w:rsid w:val="008415B8"/>
    <w:rsid w:val="0085075B"/>
    <w:rsid w:val="00853C9E"/>
    <w:rsid w:val="0086549F"/>
    <w:rsid w:val="00865D7E"/>
    <w:rsid w:val="00867155"/>
    <w:rsid w:val="00873AAF"/>
    <w:rsid w:val="00892069"/>
    <w:rsid w:val="008C651F"/>
    <w:rsid w:val="008E33F6"/>
    <w:rsid w:val="008F0171"/>
    <w:rsid w:val="008F2D5A"/>
    <w:rsid w:val="008F5155"/>
    <w:rsid w:val="00906E0B"/>
    <w:rsid w:val="0095301B"/>
    <w:rsid w:val="00983EC1"/>
    <w:rsid w:val="009C4789"/>
    <w:rsid w:val="009E6794"/>
    <w:rsid w:val="00A136D5"/>
    <w:rsid w:val="00A25A74"/>
    <w:rsid w:val="00A271CB"/>
    <w:rsid w:val="00A32EE5"/>
    <w:rsid w:val="00A62878"/>
    <w:rsid w:val="00A629AE"/>
    <w:rsid w:val="00A73574"/>
    <w:rsid w:val="00A765F9"/>
    <w:rsid w:val="00A9296E"/>
    <w:rsid w:val="00A94CEB"/>
    <w:rsid w:val="00AA2951"/>
    <w:rsid w:val="00AC1AB4"/>
    <w:rsid w:val="00AC6D6C"/>
    <w:rsid w:val="00AD73D6"/>
    <w:rsid w:val="00AE57B6"/>
    <w:rsid w:val="00AF4DFF"/>
    <w:rsid w:val="00AF6E61"/>
    <w:rsid w:val="00B00183"/>
    <w:rsid w:val="00B12370"/>
    <w:rsid w:val="00B169B5"/>
    <w:rsid w:val="00B2178A"/>
    <w:rsid w:val="00B22D61"/>
    <w:rsid w:val="00B2467C"/>
    <w:rsid w:val="00B30139"/>
    <w:rsid w:val="00B32401"/>
    <w:rsid w:val="00B437A2"/>
    <w:rsid w:val="00B44B5E"/>
    <w:rsid w:val="00B46BD1"/>
    <w:rsid w:val="00B8408B"/>
    <w:rsid w:val="00B90233"/>
    <w:rsid w:val="00BA1386"/>
    <w:rsid w:val="00BB3293"/>
    <w:rsid w:val="00BC0173"/>
    <w:rsid w:val="00BC03E1"/>
    <w:rsid w:val="00BC6B2C"/>
    <w:rsid w:val="00BE226F"/>
    <w:rsid w:val="00BF0231"/>
    <w:rsid w:val="00BF5015"/>
    <w:rsid w:val="00C02647"/>
    <w:rsid w:val="00C105BF"/>
    <w:rsid w:val="00C11599"/>
    <w:rsid w:val="00C230F3"/>
    <w:rsid w:val="00C845C6"/>
    <w:rsid w:val="00C8657A"/>
    <w:rsid w:val="00C93EDE"/>
    <w:rsid w:val="00CC6D6C"/>
    <w:rsid w:val="00CF75BB"/>
    <w:rsid w:val="00D217C7"/>
    <w:rsid w:val="00D40950"/>
    <w:rsid w:val="00D40F63"/>
    <w:rsid w:val="00D57667"/>
    <w:rsid w:val="00D57D25"/>
    <w:rsid w:val="00D70A37"/>
    <w:rsid w:val="00D70CB5"/>
    <w:rsid w:val="00D71842"/>
    <w:rsid w:val="00D82A90"/>
    <w:rsid w:val="00D87ECA"/>
    <w:rsid w:val="00D90678"/>
    <w:rsid w:val="00DB4E67"/>
    <w:rsid w:val="00DC2EBD"/>
    <w:rsid w:val="00DD1115"/>
    <w:rsid w:val="00DE7CDC"/>
    <w:rsid w:val="00DF27DC"/>
    <w:rsid w:val="00E13B40"/>
    <w:rsid w:val="00E14C8C"/>
    <w:rsid w:val="00E22126"/>
    <w:rsid w:val="00E31F13"/>
    <w:rsid w:val="00E52232"/>
    <w:rsid w:val="00E741D7"/>
    <w:rsid w:val="00E859FA"/>
    <w:rsid w:val="00E9190E"/>
    <w:rsid w:val="00EB3375"/>
    <w:rsid w:val="00F12777"/>
    <w:rsid w:val="00F1277A"/>
    <w:rsid w:val="00F20845"/>
    <w:rsid w:val="00F65FF5"/>
    <w:rsid w:val="00F85027"/>
    <w:rsid w:val="00F907D8"/>
    <w:rsid w:val="00F94AE8"/>
    <w:rsid w:val="00FB2868"/>
    <w:rsid w:val="00FC4362"/>
    <w:rsid w:val="00FD16D2"/>
    <w:rsid w:val="00FD2488"/>
    <w:rsid w:val="00FF01F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104937"/>
  <w15:docId w15:val="{521B88C2-D4F0-4A30-9803-0E513637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77A"/>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ListParagraph">
    <w:name w:val="List Paragraph"/>
    <w:basedOn w:val="Normal"/>
    <w:uiPriority w:val="99"/>
    <w:qFormat/>
    <w:rsid w:val="003A44B0"/>
    <w:pPr>
      <w:ind w:left="720"/>
      <w:contextualSpacing/>
    </w:pPr>
  </w:style>
  <w:style w:type="paragraph" w:styleId="Header">
    <w:name w:val="header"/>
    <w:basedOn w:val="Normal"/>
    <w:link w:val="HeaderChar"/>
    <w:uiPriority w:val="99"/>
    <w:rsid w:val="001D059F"/>
    <w:pPr>
      <w:tabs>
        <w:tab w:val="center" w:pos="4536"/>
        <w:tab w:val="right" w:pos="9072"/>
      </w:tabs>
      <w:spacing w:after="0" w:line="240" w:lineRule="auto"/>
    </w:pPr>
  </w:style>
  <w:style w:type="character" w:customStyle="1" w:styleId="HeaderChar">
    <w:name w:val="Header Char"/>
    <w:link w:val="Header"/>
    <w:uiPriority w:val="99"/>
    <w:locked/>
    <w:rsid w:val="001D059F"/>
    <w:rPr>
      <w:rFonts w:cs="Times New Roman"/>
    </w:rPr>
  </w:style>
  <w:style w:type="paragraph" w:styleId="Footer">
    <w:name w:val="footer"/>
    <w:basedOn w:val="Normal"/>
    <w:link w:val="FooterChar"/>
    <w:uiPriority w:val="99"/>
    <w:rsid w:val="001D059F"/>
    <w:pPr>
      <w:tabs>
        <w:tab w:val="center" w:pos="4536"/>
        <w:tab w:val="right" w:pos="9072"/>
      </w:tabs>
      <w:spacing w:after="0" w:line="240" w:lineRule="auto"/>
    </w:pPr>
  </w:style>
  <w:style w:type="character" w:customStyle="1" w:styleId="FooterChar">
    <w:name w:val="Footer Char"/>
    <w:link w:val="Footer"/>
    <w:uiPriority w:val="99"/>
    <w:locked/>
    <w:rsid w:val="001D059F"/>
    <w:rPr>
      <w:rFonts w:cs="Times New Roman"/>
    </w:rPr>
  </w:style>
  <w:style w:type="character" w:styleId="CommentReference">
    <w:name w:val="annotation reference"/>
    <w:uiPriority w:val="99"/>
    <w:semiHidden/>
    <w:rsid w:val="00201DC8"/>
    <w:rPr>
      <w:rFonts w:cs="Times New Roman"/>
      <w:sz w:val="16"/>
      <w:szCs w:val="16"/>
    </w:rPr>
  </w:style>
  <w:style w:type="paragraph" w:styleId="CommentText">
    <w:name w:val="annotation text"/>
    <w:basedOn w:val="Normal"/>
    <w:link w:val="CommentTextChar"/>
    <w:uiPriority w:val="99"/>
    <w:semiHidden/>
    <w:rsid w:val="00201DC8"/>
    <w:pPr>
      <w:spacing w:line="240" w:lineRule="auto"/>
    </w:pPr>
    <w:rPr>
      <w:sz w:val="20"/>
      <w:szCs w:val="20"/>
    </w:rPr>
  </w:style>
  <w:style w:type="character" w:customStyle="1" w:styleId="CommentTextChar">
    <w:name w:val="Comment Text Char"/>
    <w:link w:val="CommentText"/>
    <w:uiPriority w:val="99"/>
    <w:semiHidden/>
    <w:locked/>
    <w:rsid w:val="00201DC8"/>
    <w:rPr>
      <w:rFonts w:cs="Times New Roman"/>
      <w:sz w:val="20"/>
      <w:szCs w:val="20"/>
    </w:rPr>
  </w:style>
  <w:style w:type="paragraph" w:styleId="CommentSubject">
    <w:name w:val="annotation subject"/>
    <w:basedOn w:val="CommentText"/>
    <w:next w:val="CommentText"/>
    <w:link w:val="CommentSubjectChar"/>
    <w:uiPriority w:val="99"/>
    <w:semiHidden/>
    <w:rsid w:val="00201DC8"/>
    <w:rPr>
      <w:b/>
      <w:bCs/>
    </w:rPr>
  </w:style>
  <w:style w:type="character" w:customStyle="1" w:styleId="CommentSubjectChar">
    <w:name w:val="Comment Subject Char"/>
    <w:link w:val="CommentSubject"/>
    <w:uiPriority w:val="99"/>
    <w:semiHidden/>
    <w:locked/>
    <w:rsid w:val="00201DC8"/>
    <w:rPr>
      <w:rFonts w:cs="Times New Roman"/>
      <w:b/>
      <w:bCs/>
      <w:sz w:val="20"/>
      <w:szCs w:val="20"/>
    </w:rPr>
  </w:style>
  <w:style w:type="paragraph" w:styleId="BalloonText">
    <w:name w:val="Balloon Text"/>
    <w:basedOn w:val="Normal"/>
    <w:link w:val="BalloonTextChar"/>
    <w:uiPriority w:val="99"/>
    <w:semiHidden/>
    <w:rsid w:val="00201DC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01D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204936">
      <w:marLeft w:val="0"/>
      <w:marRight w:val="0"/>
      <w:marTop w:val="0"/>
      <w:marBottom w:val="0"/>
      <w:divBdr>
        <w:top w:val="none" w:sz="0" w:space="0" w:color="auto"/>
        <w:left w:val="none" w:sz="0" w:space="0" w:color="auto"/>
        <w:bottom w:val="none" w:sz="0" w:space="0" w:color="auto"/>
        <w:right w:val="none" w:sz="0" w:space="0" w:color="auto"/>
      </w:divBdr>
      <w:divsChild>
        <w:div w:id="537204931">
          <w:marLeft w:val="0"/>
          <w:marRight w:val="0"/>
          <w:marTop w:val="0"/>
          <w:marBottom w:val="0"/>
          <w:divBdr>
            <w:top w:val="none" w:sz="0" w:space="0" w:color="auto"/>
            <w:left w:val="none" w:sz="0" w:space="0" w:color="auto"/>
            <w:bottom w:val="none" w:sz="0" w:space="0" w:color="auto"/>
            <w:right w:val="none" w:sz="0" w:space="0" w:color="auto"/>
          </w:divBdr>
          <w:divsChild>
            <w:div w:id="537204934">
              <w:marLeft w:val="150"/>
              <w:marRight w:val="0"/>
              <w:marTop w:val="0"/>
              <w:marBottom w:val="0"/>
              <w:divBdr>
                <w:top w:val="none" w:sz="0" w:space="0" w:color="auto"/>
                <w:left w:val="none" w:sz="0" w:space="0" w:color="auto"/>
                <w:bottom w:val="none" w:sz="0" w:space="0" w:color="auto"/>
                <w:right w:val="none" w:sz="0" w:space="0" w:color="auto"/>
              </w:divBdr>
              <w:divsChild>
                <w:div w:id="53720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2">
          <w:marLeft w:val="0"/>
          <w:marRight w:val="0"/>
          <w:marTop w:val="0"/>
          <w:marBottom w:val="0"/>
          <w:divBdr>
            <w:top w:val="none" w:sz="0" w:space="0" w:color="auto"/>
            <w:left w:val="none" w:sz="0" w:space="0" w:color="auto"/>
            <w:bottom w:val="none" w:sz="0" w:space="0" w:color="auto"/>
            <w:right w:val="none" w:sz="0" w:space="0" w:color="auto"/>
          </w:divBdr>
          <w:divsChild>
            <w:div w:id="537204939">
              <w:marLeft w:val="150"/>
              <w:marRight w:val="0"/>
              <w:marTop w:val="0"/>
              <w:marBottom w:val="0"/>
              <w:divBdr>
                <w:top w:val="none" w:sz="0" w:space="0" w:color="auto"/>
                <w:left w:val="none" w:sz="0" w:space="0" w:color="auto"/>
                <w:bottom w:val="none" w:sz="0" w:space="0" w:color="auto"/>
                <w:right w:val="none" w:sz="0" w:space="0" w:color="auto"/>
              </w:divBdr>
              <w:divsChild>
                <w:div w:id="53720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3">
          <w:marLeft w:val="0"/>
          <w:marRight w:val="0"/>
          <w:marTop w:val="0"/>
          <w:marBottom w:val="0"/>
          <w:divBdr>
            <w:top w:val="none" w:sz="0" w:space="0" w:color="auto"/>
            <w:left w:val="none" w:sz="0" w:space="0" w:color="auto"/>
            <w:bottom w:val="none" w:sz="0" w:space="0" w:color="auto"/>
            <w:right w:val="none" w:sz="0" w:space="0" w:color="auto"/>
          </w:divBdr>
          <w:divsChild>
            <w:div w:id="537204940">
              <w:marLeft w:val="150"/>
              <w:marRight w:val="0"/>
              <w:marTop w:val="0"/>
              <w:marBottom w:val="0"/>
              <w:divBdr>
                <w:top w:val="none" w:sz="0" w:space="0" w:color="auto"/>
                <w:left w:val="none" w:sz="0" w:space="0" w:color="auto"/>
                <w:bottom w:val="none" w:sz="0" w:space="0" w:color="auto"/>
                <w:right w:val="none" w:sz="0" w:space="0" w:color="auto"/>
              </w:divBdr>
              <w:divsChild>
                <w:div w:id="537204938">
                  <w:marLeft w:val="480"/>
                  <w:marRight w:val="0"/>
                  <w:marTop w:val="60"/>
                  <w:marBottom w:val="60"/>
                  <w:divBdr>
                    <w:top w:val="single" w:sz="6" w:space="3" w:color="999999"/>
                    <w:left w:val="single" w:sz="6" w:space="3" w:color="999999"/>
                    <w:bottom w:val="single" w:sz="6" w:space="3" w:color="999999"/>
                    <w:right w:val="single" w:sz="6" w:space="3" w:color="999999"/>
                  </w:divBdr>
                  <w:divsChild>
                    <w:div w:id="53720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90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53;&#1056;_2003_383641');" TargetMode="External"/><Relationship Id="rId13" Type="http://schemas.openxmlformats.org/officeDocument/2006/relationships/hyperlink" Target="javascript:%20NavigateDocument('&#1053;&#1056;_2003_383641');" TargetMode="External"/><Relationship Id="rId18" Type="http://schemas.openxmlformats.org/officeDocument/2006/relationships/hyperlink" Target="javascript:%20Navigate('&#1095;&#1083;43_&#1072;&#1083;1');" TargetMode="External"/><Relationship Id="rId3" Type="http://schemas.openxmlformats.org/officeDocument/2006/relationships/settings" Target="settings.xml"/><Relationship Id="rId21" Type="http://schemas.openxmlformats.org/officeDocument/2006/relationships/hyperlink" Target="javascript:%20Navigate('&#1087;&#1088;&#1080;&#1083;3');" TargetMode="External"/><Relationship Id="rId7" Type="http://schemas.openxmlformats.org/officeDocument/2006/relationships/hyperlink" Target="javascript:%20NavigateDocument('&#1047;&#1050;_2006_152490');" TargetMode="External"/><Relationship Id="rId12" Type="http://schemas.openxmlformats.org/officeDocument/2006/relationships/hyperlink" Target="javascript:%20NavigateDocument('&#1053;&#1056;_2003_383641');" TargetMode="External"/><Relationship Id="rId17" Type="http://schemas.openxmlformats.org/officeDocument/2006/relationships/hyperlink" Target="javascript:%20NavigateDocument('&#1047;&#1059;&#1058;_200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javascript:%20NavigateDocument('&#1047;&#1059;&#1058;_2001" TargetMode="External"/><Relationship Id="rId20" Type="http://schemas.openxmlformats.org/officeDocument/2006/relationships/hyperlink" Target="javascript:%20NavigateDocument('&#1047;&#1045;&#1045;&#1092;&#1077;&#1082;&#1090;_201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20NavigateDocument('&#1053;&#1056;_2003_383641');"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javascript:%20NavigateDocument('&#1053;&#1056;_2003_383641');" TargetMode="External"/><Relationship Id="rId23" Type="http://schemas.openxmlformats.org/officeDocument/2006/relationships/header" Target="header1.xml"/><Relationship Id="rId10" Type="http://schemas.openxmlformats.org/officeDocument/2006/relationships/hyperlink" Target="javascript:%20Navigate('&#1095;&#1083;7_&#1072;&#1083;3');" TargetMode="External"/><Relationship Id="rId19" Type="http://schemas.openxmlformats.org/officeDocument/2006/relationships/hyperlink" Target="javascript:%20NavigateDocument('&#1047;&#1045;&#1045;&#1092;&#1077;&#1082;&#1090;_2015" TargetMode="External"/><Relationship Id="rId4" Type="http://schemas.openxmlformats.org/officeDocument/2006/relationships/webSettings" Target="webSettings.xml"/><Relationship Id="rId9" Type="http://schemas.openxmlformats.org/officeDocument/2006/relationships/hyperlink" Target="javascript:%20NavigateDocument('&#1053;&#1056;_2003_383641');" TargetMode="External"/><Relationship Id="rId14" Type="http://schemas.openxmlformats.org/officeDocument/2006/relationships/hyperlink" Target="javascript:%20NavigateDocument('&#1053;&#1056;_2003_383641');"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2384</Words>
  <Characters>13589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Kalina Bozhidarova Stoykova-Duleva</dc:creator>
  <cp:lastModifiedBy>MZH1</cp:lastModifiedBy>
  <cp:revision>2</cp:revision>
  <dcterms:created xsi:type="dcterms:W3CDTF">2025-02-07T12:25:00Z</dcterms:created>
  <dcterms:modified xsi:type="dcterms:W3CDTF">2025-02-07T12:25:00Z</dcterms:modified>
</cp:coreProperties>
</file>